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6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 xml:space="preserve">, условия которого приведены ниже в адрес физических лиц, проживающих по адресу: Псковская область, Псковский р-н, </w:t>
      </w:r>
      <w:proofErr w:type="spellStart"/>
      <w:r w:rsidRPr="003E6E5C">
        <w:rPr>
          <w:rFonts w:eastAsia="Times New Roman"/>
          <w:b/>
          <w:sz w:val="22"/>
          <w:lang w:eastAsia="ru-RU"/>
        </w:rPr>
        <w:t>д</w:t>
      </w:r>
      <w:proofErr w:type="gramStart"/>
      <w:r w:rsidRPr="003E6E5C">
        <w:rPr>
          <w:rFonts w:eastAsia="Times New Roman"/>
          <w:b/>
          <w:sz w:val="22"/>
          <w:lang w:eastAsia="ru-RU"/>
        </w:rPr>
        <w:t>.</w:t>
      </w:r>
      <w:r w:rsidR="00002F11">
        <w:rPr>
          <w:rFonts w:eastAsia="Times New Roman"/>
          <w:b/>
          <w:sz w:val="22"/>
          <w:lang w:eastAsia="ru-RU"/>
        </w:rPr>
        <w:t>П</w:t>
      </w:r>
      <w:proofErr w:type="gramEnd"/>
      <w:r w:rsidR="00002F11">
        <w:rPr>
          <w:rFonts w:eastAsia="Times New Roman"/>
          <w:b/>
          <w:sz w:val="22"/>
          <w:lang w:eastAsia="ru-RU"/>
        </w:rPr>
        <w:t>исковичи</w:t>
      </w:r>
      <w:proofErr w:type="spellEnd"/>
      <w:r w:rsidRPr="003E6E5C">
        <w:rPr>
          <w:rFonts w:eastAsia="Times New Roman"/>
          <w:b/>
          <w:sz w:val="22"/>
          <w:lang w:eastAsia="ru-RU"/>
        </w:rPr>
        <w:t xml:space="preserve">, </w:t>
      </w:r>
      <w:proofErr w:type="spellStart"/>
      <w:r w:rsidRPr="003E6E5C">
        <w:rPr>
          <w:rFonts w:eastAsia="Times New Roman"/>
          <w:b/>
          <w:sz w:val="22"/>
          <w:lang w:eastAsia="ru-RU"/>
        </w:rPr>
        <w:t>ул.</w:t>
      </w:r>
      <w:r w:rsidR="00002F11">
        <w:rPr>
          <w:rFonts w:eastAsia="Times New Roman"/>
          <w:b/>
          <w:sz w:val="22"/>
          <w:lang w:eastAsia="ru-RU"/>
        </w:rPr>
        <w:t>Гецентова</w:t>
      </w:r>
      <w:proofErr w:type="spellEnd"/>
      <w:r w:rsidRPr="003E6E5C">
        <w:rPr>
          <w:rFonts w:eastAsia="Times New Roman"/>
          <w:b/>
          <w:sz w:val="22"/>
          <w:lang w:eastAsia="ru-RU"/>
        </w:rPr>
        <w:t>, д.</w:t>
      </w:r>
      <w:r w:rsidR="00870882" w:rsidRPr="00870882">
        <w:rPr>
          <w:rFonts w:eastAsia="Times New Roman"/>
          <w:b/>
          <w:sz w:val="22"/>
          <w:lang w:eastAsia="ru-RU"/>
        </w:rPr>
        <w:t>10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7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D86172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proofErr w:type="spellStart"/>
      <w:r w:rsidR="00420921" w:rsidRPr="006259A3">
        <w:rPr>
          <w:b/>
          <w:u w:val="single"/>
        </w:rPr>
        <w:fldChar w:fldCharType="begin"/>
      </w:r>
      <w:r w:rsidRPr="006259A3">
        <w:rPr>
          <w:b/>
          <w:u w:val="single"/>
        </w:rPr>
        <w:instrText xml:space="preserve"> HYPERLINK "https://gazresurs-psk.ru/" \t "_blank" </w:instrText>
      </w:r>
      <w:r w:rsidR="00420921" w:rsidRPr="006259A3">
        <w:rPr>
          <w:b/>
          <w:u w:val="single"/>
        </w:rPr>
        <w:fldChar w:fldCharType="separate"/>
      </w:r>
      <w:r w:rsidRPr="006259A3">
        <w:rPr>
          <w:rStyle w:val="a4"/>
          <w:b/>
          <w:bCs/>
          <w:color w:val="auto"/>
        </w:rPr>
        <w:t>gazresurs-psk.ru</w:t>
      </w:r>
      <w:proofErr w:type="spellEnd"/>
      <w:r w:rsidR="00420921" w:rsidRPr="006259A3">
        <w:rPr>
          <w:b/>
          <w:u w:val="single"/>
        </w:rPr>
        <w:fldChar w:fldCharType="end"/>
      </w:r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proofErr w:type="gramStart"/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Pr="006259A3">
        <w:rPr>
          <w:rFonts w:eastAsia="Times New Roman"/>
          <w:sz w:val="22"/>
          <w:lang w:eastAsia="ru-RU"/>
        </w:rPr>
        <w:t>, именуемое в дальнейшем «Теплоснабжающая организация».</w:t>
      </w:r>
      <w:proofErr w:type="gramEnd"/>
      <w:r w:rsidRPr="006259A3">
        <w:rPr>
          <w:rFonts w:eastAsia="Times New Roman"/>
          <w:sz w:val="22"/>
          <w:lang w:eastAsia="ru-RU"/>
        </w:rPr>
        <w:t xml:space="preserve"> «Исполнитель»)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spellStart"/>
      <w:proofErr w:type="gramEnd"/>
      <w:r w:rsidRPr="006259A3">
        <w:rPr>
          <w:rFonts w:eastAsia="Times New Roman"/>
          <w:sz w:val="22"/>
          <w:lang w:eastAsia="ru-RU"/>
        </w:rPr>
        <w:t>ка</w:t>
      </w:r>
      <w:proofErr w:type="spellEnd"/>
      <w:r w:rsidRPr="006259A3">
        <w:rPr>
          <w:rFonts w:eastAsia="Times New Roman"/>
          <w:sz w:val="22"/>
          <w:lang w:eastAsia="ru-RU"/>
        </w:rPr>
        <w:t>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</w:t>
      </w:r>
      <w:proofErr w:type="spellStart"/>
      <w:r>
        <w:rPr>
          <w:rFonts w:eastAsia="Times New Roman"/>
          <w:sz w:val="22"/>
          <w:lang w:eastAsia="ru-RU"/>
        </w:rPr>
        <w:t>д</w:t>
      </w:r>
      <w:proofErr w:type="gramStart"/>
      <w:r>
        <w:rPr>
          <w:rFonts w:eastAsia="Times New Roman"/>
          <w:sz w:val="22"/>
          <w:lang w:eastAsia="ru-RU"/>
        </w:rPr>
        <w:t>.</w:t>
      </w:r>
      <w:r w:rsidR="00002F11">
        <w:rPr>
          <w:rFonts w:eastAsia="Times New Roman"/>
          <w:sz w:val="22"/>
          <w:lang w:eastAsia="ru-RU"/>
        </w:rPr>
        <w:t>П</w:t>
      </w:r>
      <w:proofErr w:type="gramEnd"/>
      <w:r w:rsidR="00002F11">
        <w:rPr>
          <w:rFonts w:eastAsia="Times New Roman"/>
          <w:sz w:val="22"/>
          <w:lang w:eastAsia="ru-RU"/>
        </w:rPr>
        <w:t>исковичи</w:t>
      </w:r>
      <w:proofErr w:type="spellEnd"/>
      <w:r>
        <w:rPr>
          <w:rFonts w:eastAsia="Times New Roman"/>
          <w:sz w:val="22"/>
          <w:lang w:eastAsia="ru-RU"/>
        </w:rPr>
        <w:t xml:space="preserve">, </w:t>
      </w:r>
      <w:proofErr w:type="spellStart"/>
      <w:r>
        <w:rPr>
          <w:rFonts w:eastAsia="Times New Roman"/>
          <w:sz w:val="22"/>
          <w:lang w:eastAsia="ru-RU"/>
        </w:rPr>
        <w:t>ул.</w:t>
      </w:r>
      <w:r w:rsidR="00002F11">
        <w:rPr>
          <w:rFonts w:eastAsia="Times New Roman"/>
          <w:sz w:val="22"/>
          <w:lang w:eastAsia="ru-RU"/>
        </w:rPr>
        <w:t>Гецентова</w:t>
      </w:r>
      <w:proofErr w:type="spellEnd"/>
      <w:r>
        <w:rPr>
          <w:rFonts w:eastAsia="Times New Roman"/>
          <w:sz w:val="22"/>
          <w:lang w:eastAsia="ru-RU"/>
        </w:rPr>
        <w:t>, д.</w:t>
      </w:r>
      <w:r w:rsidR="00870882" w:rsidRPr="00870882">
        <w:rPr>
          <w:rFonts w:eastAsia="Times New Roman"/>
          <w:sz w:val="22"/>
          <w:lang w:eastAsia="ru-RU"/>
        </w:rPr>
        <w:t>10</w:t>
      </w:r>
      <w:r w:rsidRPr="006259A3">
        <w:rPr>
          <w:rFonts w:eastAsia="Times New Roman"/>
          <w:sz w:val="22"/>
          <w:lang w:eastAsia="ru-RU"/>
        </w:rPr>
        <w:t>, именуемый в дальнейшем «Потребитель»,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8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9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1B4B2D">
        <w:rPr>
          <w:rFonts w:eastAsia="Times New Roman"/>
          <w:b/>
          <w:sz w:val="22"/>
          <w:lang w:eastAsia="ru-RU"/>
        </w:rPr>
        <w:t>0,818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1B4B2D">
        <w:rPr>
          <w:rFonts w:eastAsia="Times New Roman"/>
          <w:b/>
          <w:sz w:val="22"/>
          <w:lang w:eastAsia="ru-RU"/>
        </w:rPr>
        <w:t>0,474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1B4B2D">
        <w:rPr>
          <w:rFonts w:eastAsia="Times New Roman"/>
          <w:b/>
          <w:sz w:val="22"/>
          <w:lang w:eastAsia="ru-RU"/>
        </w:rPr>
        <w:t>0,344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</w:t>
      </w:r>
      <w:proofErr w:type="spellStart"/>
      <w:r w:rsidR="00F5191D" w:rsidRPr="0022274C">
        <w:rPr>
          <w:sz w:val="22"/>
        </w:rPr>
        <w:t>СНиП</w:t>
      </w:r>
      <w:proofErr w:type="spellEnd"/>
      <w:r w:rsidR="00F5191D" w:rsidRPr="0022274C">
        <w:rPr>
          <w:sz w:val="22"/>
        </w:rPr>
        <w:t xml:space="preserve">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</w:t>
      </w:r>
      <w:proofErr w:type="spellStart"/>
      <w:r w:rsidR="00F5191D" w:rsidRPr="0022274C">
        <w:rPr>
          <w:sz w:val="22"/>
        </w:rPr>
        <w:t>теплопотребляющих</w:t>
      </w:r>
      <w:proofErr w:type="spellEnd"/>
      <w:r w:rsidR="00F5191D" w:rsidRPr="0022274C">
        <w:rPr>
          <w:sz w:val="22"/>
        </w:rPr>
        <w:t xml:space="preserve">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9E1DDE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22274C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6259A3" w:rsidRPr="0022274C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9E1DDE">
        <w:rPr>
          <w:rFonts w:eastAsia="Times New Roman"/>
          <w:b/>
          <w:sz w:val="22"/>
          <w:lang w:eastAsia="ru-RU"/>
        </w:rPr>
        <w:t>2</w:t>
      </w:r>
      <w:r w:rsidRPr="0022274C">
        <w:rPr>
          <w:rFonts w:eastAsia="Times New Roman"/>
          <w:b/>
          <w:bCs/>
          <w:sz w:val="22"/>
          <w:lang w:eastAsia="ru-RU"/>
        </w:rPr>
        <w:t>.1</w:t>
      </w:r>
      <w:r w:rsidRPr="0022274C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22274C">
        <w:rPr>
          <w:rFonts w:eastAsia="Times New Roman"/>
          <w:b/>
          <w:bCs/>
          <w:sz w:val="22"/>
          <w:lang w:eastAsia="ru-RU"/>
        </w:rPr>
        <w:t>:</w:t>
      </w:r>
    </w:p>
    <w:p w:rsidR="006259A3" w:rsidRPr="0022274C" w:rsidRDefault="006259A3" w:rsidP="009E1DDE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="0022274C" w:rsidRPr="0022274C">
        <w:rPr>
          <w:sz w:val="22"/>
        </w:rPr>
        <w:t xml:space="preserve"> до границы раздела в количестве, предусмотренном настоящим Договором, с корректировкой в зависимости от температуры наружного воздуха, согласно температурному графику</w:t>
      </w:r>
      <w:r w:rsidR="009E1DDE">
        <w:rPr>
          <w:sz w:val="22"/>
        </w:rPr>
        <w:t xml:space="preserve"> (Приложение №1) и с учетом п.</w:t>
      </w:r>
      <w:r w:rsidR="0022274C" w:rsidRPr="0022274C">
        <w:rPr>
          <w:sz w:val="22"/>
        </w:rPr>
        <w:t>1.3.</w:t>
      </w:r>
      <w:r w:rsidRPr="0022274C">
        <w:rPr>
          <w:rFonts w:eastAsia="Times New Roman"/>
          <w:sz w:val="22"/>
          <w:lang w:eastAsia="ru-RU"/>
        </w:rPr>
        <w:t>;</w:t>
      </w:r>
    </w:p>
    <w:p w:rsidR="006259A3" w:rsidRPr="0022274C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t xml:space="preserve">2.1.2. предоставлять Потребителю тепловую энергию надлежащего качества в соответствии с требованиями </w:t>
      </w:r>
      <w:hyperlink r:id="rId10" w:tooltip="Государственные стандарты" w:history="1">
        <w:r w:rsidRPr="0022274C">
          <w:rPr>
            <w:rFonts w:eastAsia="Times New Roman"/>
            <w:sz w:val="22"/>
            <w:lang w:eastAsia="ru-RU"/>
          </w:rPr>
          <w:t>государственных стандартов</w:t>
        </w:r>
      </w:hyperlink>
      <w:r w:rsidRPr="0022274C">
        <w:rPr>
          <w:rFonts w:eastAsia="Times New Roman"/>
          <w:sz w:val="22"/>
          <w:lang w:eastAsia="ru-RU"/>
        </w:rPr>
        <w:t xml:space="preserve"> и </w:t>
      </w:r>
      <w:hyperlink r:id="rId11" w:tooltip="Акт нормативный" w:history="1">
        <w:r w:rsidRPr="0022274C">
          <w:rPr>
            <w:rFonts w:eastAsia="Times New Roman"/>
            <w:sz w:val="22"/>
            <w:lang w:eastAsia="ru-RU"/>
          </w:rPr>
          <w:t>нормативных актов</w:t>
        </w:r>
      </w:hyperlink>
      <w:r w:rsidRPr="0022274C">
        <w:rPr>
          <w:rFonts w:eastAsia="Times New Roman"/>
          <w:sz w:val="22"/>
          <w:lang w:eastAsia="ru-RU"/>
        </w:rPr>
        <w:t xml:space="preserve"> РФ и настоящим договором;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t>2.1.3. самостоятельно</w:t>
      </w:r>
      <w:r w:rsidRPr="006259A3">
        <w:rPr>
          <w:rFonts w:eastAsia="Times New Roman"/>
          <w:sz w:val="22"/>
          <w:lang w:eastAsia="ru-RU"/>
        </w:rPr>
        <w:t xml:space="preserve"> производить коммунальные ресурсы, необходимые для предоставления тепловой энергии Потребителю;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2.1.4. взимать плату за </w:t>
      </w:r>
      <w:r w:rsidR="009E1DDE">
        <w:rPr>
          <w:rFonts w:eastAsia="Times New Roman"/>
          <w:sz w:val="22"/>
          <w:lang w:eastAsia="ru-RU"/>
        </w:rPr>
        <w:t>тепловую энергию</w:t>
      </w:r>
      <w:r w:rsidRPr="006259A3">
        <w:rPr>
          <w:rFonts w:eastAsia="Times New Roman"/>
          <w:sz w:val="22"/>
          <w:lang w:eastAsia="ru-RU"/>
        </w:rPr>
        <w:t xml:space="preserve"> </w:t>
      </w:r>
      <w:proofErr w:type="gramStart"/>
      <w:r w:rsidRPr="006259A3">
        <w:rPr>
          <w:rFonts w:eastAsia="Times New Roman"/>
          <w:sz w:val="22"/>
          <w:lang w:eastAsia="ru-RU"/>
        </w:rPr>
        <w:t>согласно</w:t>
      </w:r>
      <w:proofErr w:type="gramEnd"/>
      <w:r w:rsidRPr="006259A3">
        <w:rPr>
          <w:rFonts w:eastAsia="Times New Roman"/>
          <w:sz w:val="22"/>
          <w:lang w:eastAsia="ru-RU"/>
        </w:rPr>
        <w:t xml:space="preserve"> настоящего договора;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2.1.</w:t>
      </w:r>
      <w:r>
        <w:rPr>
          <w:rFonts w:eastAsia="Times New Roman"/>
          <w:sz w:val="22"/>
          <w:lang w:eastAsia="ru-RU"/>
        </w:rPr>
        <w:t>5</w:t>
      </w:r>
      <w:r w:rsidRPr="006259A3">
        <w:rPr>
          <w:rFonts w:eastAsia="Times New Roman"/>
          <w:sz w:val="22"/>
          <w:lang w:eastAsia="ru-RU"/>
        </w:rPr>
        <w:t>. уведомлять Потребителя о начале и сроках перерывов в подаче тепловой энергии, или уменьшения отпуска тепловой энергии: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</w:t>
      </w:r>
      <w:proofErr w:type="gramStart"/>
      <w:r w:rsidRPr="006259A3">
        <w:rPr>
          <w:rFonts w:eastAsia="Times New Roman"/>
          <w:sz w:val="22"/>
          <w:lang w:eastAsia="ru-RU"/>
        </w:rPr>
        <w:t>)н</w:t>
      </w:r>
      <w:proofErr w:type="gramEnd"/>
      <w:r w:rsidRPr="006259A3">
        <w:rPr>
          <w:rFonts w:eastAsia="Times New Roman"/>
          <w:sz w:val="22"/>
          <w:lang w:eastAsia="ru-RU"/>
        </w:rPr>
        <w:t>е менее чем за 3 дня при производстве плановых ремонтов;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2.1.</w:t>
      </w:r>
      <w:r>
        <w:rPr>
          <w:rFonts w:eastAsia="Times New Roman"/>
          <w:sz w:val="22"/>
          <w:lang w:eastAsia="ru-RU"/>
        </w:rPr>
        <w:t>6</w:t>
      </w:r>
      <w:r w:rsidRPr="006259A3">
        <w:rPr>
          <w:rFonts w:eastAsia="Times New Roman"/>
          <w:sz w:val="22"/>
          <w:lang w:eastAsia="ru-RU"/>
        </w:rPr>
        <w:t>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6259A3">
        <w:rPr>
          <w:rFonts w:eastAsia="Times New Roman"/>
          <w:sz w:val="22"/>
          <w:u w:val="single"/>
          <w:lang w:eastAsia="ru-RU"/>
        </w:rPr>
        <w:t>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помещении;</w:t>
      </w:r>
    </w:p>
    <w:p w:rsid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9E1DDE" w:rsidRPr="006259A3" w:rsidRDefault="009E1DDE" w:rsidP="006259A3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2.2.5. ежемесячно сообщать показания приборов учета любым установленным способом.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2</w:t>
      </w:r>
      <w:r w:rsidRPr="006259A3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proofErr w:type="gramStart"/>
      <w:r w:rsidRPr="006259A3">
        <w:rPr>
          <w:rFonts w:eastAsia="Times New Roman"/>
          <w:sz w:val="22"/>
          <w:lang w:eastAsia="ru-RU"/>
        </w:rPr>
        <w:t>2.3.1. требовать внесения платы за потребленные тепловой энергии, согласно настоящего договора, а в случаях нарушения потребителем сроков оплаты теплоснабжения - уплаты неустоек (штрафов, пеней);</w:t>
      </w:r>
      <w:proofErr w:type="gramEnd"/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2.3.2. требовать допуска в заранее согласованное с Потребителем время в занимаемое им помещение уполномоченных представителей Исполнителя для осмотра технического и санитарного состояния инженерных систем и оборудования внутри помещения</w:t>
      </w:r>
      <w:r w:rsidR="009E1DDE">
        <w:rPr>
          <w:rFonts w:eastAsia="Times New Roman"/>
          <w:sz w:val="22"/>
          <w:lang w:eastAsia="ru-RU"/>
        </w:rPr>
        <w:t>, контрольного снятия показаний приборов учета</w:t>
      </w:r>
      <w:r w:rsidR="001477EC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2</w:t>
      </w:r>
      <w:r w:rsidRPr="006259A3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2.4.3. получать от Исполнителя информацию об объемах и качестве тепловой энергии, условиях их предоставления, изменении размера платы за тепловую энергию и порядке </w:t>
      </w:r>
      <w:r w:rsidR="009E1DDE">
        <w:rPr>
          <w:rFonts w:eastAsia="Times New Roman"/>
          <w:sz w:val="22"/>
          <w:lang w:eastAsia="ru-RU"/>
        </w:rPr>
        <w:t>их оплаты.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Исполнителя;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2.5.2. самовольно присоединяться к системам теплоснабжения присоединяться к ним в обход приборов учета;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2.5.3. сбрасывать вещества, запрещенные (не разрешенные) к сбросу действующим законодательством РФ.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2.5.4.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3.1. Тариф на тепловую энергию утверждается и изменяется в соответствии с действующим законодательством; изменение тарифа доводится до Потребителя через </w:t>
      </w:r>
      <w:hyperlink r:id="rId12" w:tooltip="Средства массовой информации" w:history="1">
        <w:r w:rsidRPr="006341A1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6259A3">
        <w:rPr>
          <w:rFonts w:eastAsia="Times New Roman"/>
          <w:sz w:val="22"/>
          <w:lang w:eastAsia="ru-RU"/>
        </w:rPr>
        <w:t xml:space="preserve"> и не требует переоформления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Расчеты за потребленную тепловую энергию производятся согласно действующему тарифу, установленному </w:t>
      </w:r>
      <w:r w:rsidR="006341A1" w:rsidRPr="006341A1">
        <w:rPr>
          <w:iCs/>
          <w:sz w:val="22"/>
        </w:rPr>
        <w:t>Государственным комитетом Псковской области по тарифам и энергетике</w:t>
      </w:r>
      <w:r w:rsidRPr="006259A3">
        <w:rPr>
          <w:rFonts w:eastAsia="Times New Roman"/>
          <w:sz w:val="22"/>
          <w:lang w:eastAsia="ru-RU"/>
        </w:rPr>
        <w:t xml:space="preserve"> для потребителей.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3.3. Расчеты за тепловую энергию по Договору производятся Потребителем в адрес Теплоснабжающей организации в следующем порядке:</w:t>
      </w:r>
    </w:p>
    <w:p w:rsidR="009E1DDE" w:rsidRPr="006259A3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lastRenderedPageBreak/>
        <w:t>3.3.1. по отоплению:</w:t>
      </w:r>
    </w:p>
    <w:p w:rsid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- на основании данных по расходу тепловой энергии за расчетный период, определенных при помощи </w:t>
      </w:r>
      <w:proofErr w:type="spellStart"/>
      <w:r w:rsidRPr="006259A3">
        <w:rPr>
          <w:rFonts w:eastAsia="Times New Roman"/>
          <w:sz w:val="22"/>
          <w:lang w:eastAsia="ru-RU"/>
        </w:rPr>
        <w:t>общедомовых</w:t>
      </w:r>
      <w:proofErr w:type="spellEnd"/>
      <w:r w:rsidRPr="006259A3">
        <w:rPr>
          <w:rFonts w:eastAsia="Times New Roman"/>
          <w:sz w:val="22"/>
          <w:lang w:eastAsia="ru-RU"/>
        </w:rPr>
        <w:t xml:space="preserve"> приборов учета тепловой энергии.</w:t>
      </w:r>
    </w:p>
    <w:p w:rsidR="009E1DDE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3.3.2. по горячему водоснабжению:</w:t>
      </w:r>
    </w:p>
    <w:p w:rsidR="009E1DDE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</w:t>
      </w:r>
      <w:r w:rsidRPr="006259A3">
        <w:rPr>
          <w:rFonts w:eastAsia="Times New Roman"/>
          <w:sz w:val="22"/>
          <w:lang w:eastAsia="ru-RU"/>
        </w:rPr>
        <w:t xml:space="preserve"> определенных при помощи </w:t>
      </w:r>
      <w:r>
        <w:rPr>
          <w:rFonts w:eastAsia="Times New Roman"/>
          <w:sz w:val="22"/>
          <w:lang w:eastAsia="ru-RU"/>
        </w:rPr>
        <w:t>установленных в жилом помещении</w:t>
      </w:r>
      <w:r w:rsidRPr="006259A3">
        <w:rPr>
          <w:rFonts w:eastAsia="Times New Roman"/>
          <w:sz w:val="22"/>
          <w:lang w:eastAsia="ru-RU"/>
        </w:rPr>
        <w:t xml:space="preserve"> приборов учета </w:t>
      </w:r>
      <w:r>
        <w:rPr>
          <w:rFonts w:eastAsia="Times New Roman"/>
          <w:sz w:val="22"/>
          <w:lang w:eastAsia="ru-RU"/>
        </w:rPr>
        <w:t>горячей воды;</w:t>
      </w:r>
    </w:p>
    <w:p w:rsidR="009E1DDE" w:rsidRPr="006259A3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3.4. Оплата по Договору производится Потребителем в адрес Теплоснабжающей организации не позднее </w:t>
      </w:r>
      <w:r w:rsidR="006341A1">
        <w:rPr>
          <w:rFonts w:eastAsia="Times New Roman"/>
          <w:sz w:val="22"/>
          <w:lang w:eastAsia="ru-RU"/>
        </w:rPr>
        <w:t>1 (первого)</w:t>
      </w:r>
      <w:r w:rsidRPr="006259A3">
        <w:rPr>
          <w:rFonts w:eastAsia="Times New Roman"/>
          <w:sz w:val="22"/>
          <w:lang w:eastAsia="ru-RU"/>
        </w:rPr>
        <w:t xml:space="preserve"> числа месяца, следующего за расчетным, любыми способами, которые допускаются Законод</w:t>
      </w:r>
      <w:r w:rsidR="006341A1">
        <w:rPr>
          <w:rFonts w:eastAsia="Times New Roman"/>
          <w:sz w:val="22"/>
          <w:lang w:eastAsia="ru-RU"/>
        </w:rPr>
        <w:t>ательством Российской Федерации.</w:t>
      </w: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>
        <w:rPr>
          <w:rFonts w:eastAsia="Times New Roman"/>
          <w:sz w:val="22"/>
          <w:lang w:eastAsia="ru-RU"/>
        </w:rPr>
        <w:t xml:space="preserve">01 </w:t>
      </w:r>
      <w:r w:rsidR="001B4B2D">
        <w:rPr>
          <w:rFonts w:eastAsia="Times New Roman"/>
          <w:sz w:val="22"/>
          <w:lang w:eastAsia="ru-RU"/>
        </w:rPr>
        <w:t>октября</w:t>
      </w:r>
      <w:r w:rsidR="006341A1">
        <w:rPr>
          <w:rFonts w:eastAsia="Times New Roman"/>
          <w:sz w:val="22"/>
          <w:lang w:eastAsia="ru-RU"/>
        </w:rPr>
        <w:t xml:space="preserve"> 2021 года</w:t>
      </w:r>
      <w:r w:rsidRPr="006259A3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5. Порядок разрешения споров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6259A3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6259A3">
        <w:rPr>
          <w:rFonts w:eastAsia="Times New Roman"/>
          <w:sz w:val="22"/>
          <w:lang w:eastAsia="ru-RU"/>
        </w:rPr>
        <w:t xml:space="preserve"> нарушений.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6341A1" w:rsidRP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ПСКОВСКИЙ РФ ОАО «РОССЕЛЬХОЗБАНК» г. Псков, БИК 045805772,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к/с 30101810900000000772, </w:t>
      </w:r>
      <w:proofErr w:type="spellStart"/>
      <w:proofErr w:type="gramStart"/>
      <w:r w:rsidRPr="006341A1">
        <w:rPr>
          <w:sz w:val="22"/>
        </w:rPr>
        <w:t>р</w:t>
      </w:r>
      <w:proofErr w:type="spellEnd"/>
      <w:proofErr w:type="gramEnd"/>
      <w:r w:rsidRPr="006341A1">
        <w:rPr>
          <w:sz w:val="22"/>
        </w:rPr>
        <w:t xml:space="preserve">/с 40702810868000000808,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3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CC1325" w:rsidRDefault="00CC1325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3E6E5C" w:rsidRDefault="003E6E5C" w:rsidP="006341A1">
      <w:pPr>
        <w:jc w:val="both"/>
      </w:pPr>
    </w:p>
    <w:p w:rsidR="003E6E5C" w:rsidRDefault="003E6E5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9E1DDE" w:rsidRDefault="009E1DDE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22274C" w:rsidRPr="001B6391" w:rsidRDefault="0022274C" w:rsidP="0022274C"/>
    <w:p w:rsidR="0022274C" w:rsidRPr="001B6391" w:rsidRDefault="0022274C" w:rsidP="0022274C">
      <w:pPr>
        <w:rPr>
          <w:b/>
        </w:rPr>
      </w:pPr>
      <w:r w:rsidRPr="001B6391">
        <w:rPr>
          <w:b/>
        </w:rPr>
        <w:t xml:space="preserve">                                            </w:t>
      </w:r>
      <w:r w:rsidRPr="00456984">
        <w:rPr>
          <w:b/>
        </w:rPr>
        <w:t>Температурный график ООО «ГазРесурс»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22274C" w:rsidRPr="00EC7C8D" w:rsidTr="006F2BB7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rPr>
                <w:b/>
              </w:rPr>
            </w:pPr>
            <w:r w:rsidRPr="001B6391">
              <w:rPr>
                <w:b/>
              </w:rPr>
              <w:t xml:space="preserve"> </w:t>
            </w:r>
            <w:r w:rsidRPr="00EC7C8D">
              <w:rPr>
                <w:b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r w:rsidRPr="00EC7C8D">
              <w:rPr>
                <w:b/>
              </w:rPr>
              <w:t xml:space="preserve">                                                 9</w:t>
            </w:r>
            <w:r w:rsidRPr="00EC7C8D">
              <w:rPr>
                <w:b/>
                <w:lang w:val="en-US"/>
              </w:rPr>
              <w:t>5</w:t>
            </w:r>
            <w:r w:rsidRPr="00EC7C8D">
              <w:rPr>
                <w:b/>
              </w:rPr>
              <w:t>/ 70</w:t>
            </w:r>
          </w:p>
        </w:tc>
      </w:tr>
      <w:tr w:rsidR="0022274C" w:rsidRPr="00EC7C8D" w:rsidTr="006F2BB7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rPr>
                <w:b/>
              </w:rPr>
            </w:pPr>
            <w:r w:rsidRPr="00EC7C8D">
              <w:rPr>
                <w:b/>
              </w:rPr>
              <w:t xml:space="preserve">                          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r w:rsidRPr="00EC7C8D">
              <w:rPr>
                <w:b/>
              </w:rPr>
              <w:t xml:space="preserve">                         Т 2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66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</w:t>
            </w:r>
            <w:r w:rsidRPr="00EC7C8D">
              <w:rPr>
                <w:b/>
                <w:lang w:val="en-US"/>
              </w:rPr>
              <w:t>1.9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7.7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53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69</w:t>
            </w:r>
            <w:r w:rsidRPr="00EC7C8D">
              <w:rPr>
                <w:b/>
                <w:lang w:val="en-US"/>
              </w:rPr>
              <w:t>.3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54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</w:t>
            </w:r>
            <w:r w:rsidRPr="00EC7C8D">
              <w:rPr>
                <w:b/>
                <w:lang w:val="en-US"/>
              </w:rPr>
              <w:t>0.9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55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72</w:t>
            </w:r>
            <w:r w:rsidRPr="00EC7C8D">
              <w:rPr>
                <w:b/>
                <w:lang w:val="en-US"/>
              </w:rPr>
              <w:t>.4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56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74</w:t>
            </w:r>
            <w:r w:rsidRPr="00EC7C8D">
              <w:rPr>
                <w:b/>
                <w:lang w:val="en-US"/>
              </w:rPr>
              <w:t>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57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</w:t>
            </w:r>
            <w:r w:rsidRPr="00EC7C8D">
              <w:rPr>
                <w:b/>
                <w:lang w:val="en-US"/>
              </w:rPr>
              <w:t>7.9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77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  <w:lang w:val="en-US"/>
              </w:rPr>
              <w:t>58.9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</w:t>
            </w:r>
            <w:r w:rsidRPr="00EC7C8D">
              <w:rPr>
                <w:b/>
                <w:lang w:val="en-US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  <w:lang w:val="en-US"/>
              </w:rPr>
              <w:t>59.9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80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0.8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1.8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83</w:t>
            </w:r>
            <w:r w:rsidRPr="00EC7C8D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2.7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3.6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86</w:t>
            </w:r>
            <w:r w:rsidRPr="00EC7C8D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4.6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65</w:t>
            </w:r>
            <w:r w:rsidRPr="00EC7C8D">
              <w:rPr>
                <w:b/>
                <w:lang w:val="en-US"/>
              </w:rPr>
              <w:t>.5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89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66</w:t>
            </w:r>
            <w:r w:rsidRPr="00EC7C8D">
              <w:rPr>
                <w:b/>
                <w:lang w:val="en-US"/>
              </w:rPr>
              <w:t>.4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90</w:t>
            </w:r>
            <w:r w:rsidRPr="00EC7C8D">
              <w:rPr>
                <w:b/>
                <w:lang w:val="en-US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7.3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68.2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69.1</w:t>
            </w:r>
          </w:p>
        </w:tc>
      </w:tr>
      <w:tr w:rsidR="0022274C" w:rsidRPr="001B6391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70.0</w:t>
            </w:r>
          </w:p>
        </w:tc>
      </w:tr>
    </w:tbl>
    <w:p w:rsidR="0022274C" w:rsidRDefault="0022274C" w:rsidP="0022274C">
      <w:pPr>
        <w:jc w:val="right"/>
        <w:rPr>
          <w:sz w:val="20"/>
          <w:szCs w:val="20"/>
        </w:rPr>
      </w:pPr>
    </w:p>
    <w:p w:rsidR="001B4B2D" w:rsidRDefault="001B4B2D" w:rsidP="0022274C">
      <w:pPr>
        <w:jc w:val="right"/>
        <w:rPr>
          <w:sz w:val="20"/>
          <w:szCs w:val="20"/>
        </w:rPr>
      </w:pPr>
    </w:p>
    <w:p w:rsidR="001B4B2D" w:rsidRDefault="001B4B2D" w:rsidP="0022274C">
      <w:pPr>
        <w:jc w:val="right"/>
        <w:rPr>
          <w:sz w:val="20"/>
          <w:szCs w:val="20"/>
        </w:rPr>
      </w:pPr>
    </w:p>
    <w:p w:rsidR="001B4B2D" w:rsidRDefault="001B4B2D" w:rsidP="0022274C">
      <w:pPr>
        <w:jc w:val="right"/>
        <w:rPr>
          <w:sz w:val="20"/>
          <w:szCs w:val="20"/>
        </w:rPr>
      </w:pPr>
    </w:p>
    <w:p w:rsidR="001B4B2D" w:rsidRDefault="001B4B2D" w:rsidP="0022274C">
      <w:pPr>
        <w:jc w:val="right"/>
        <w:rPr>
          <w:sz w:val="20"/>
          <w:szCs w:val="20"/>
        </w:rPr>
      </w:pPr>
    </w:p>
    <w:p w:rsidR="001B4B2D" w:rsidRDefault="001B4B2D" w:rsidP="0022274C">
      <w:pPr>
        <w:jc w:val="right"/>
        <w:rPr>
          <w:sz w:val="20"/>
          <w:szCs w:val="20"/>
        </w:rPr>
      </w:pPr>
    </w:p>
    <w:p w:rsidR="001B4B2D" w:rsidRDefault="001B4B2D" w:rsidP="0022274C">
      <w:pPr>
        <w:jc w:val="right"/>
        <w:rPr>
          <w:sz w:val="20"/>
          <w:szCs w:val="20"/>
        </w:rPr>
      </w:pPr>
    </w:p>
    <w:p w:rsidR="001B4B2D" w:rsidRDefault="001B4B2D" w:rsidP="0022274C">
      <w:pPr>
        <w:jc w:val="right"/>
        <w:rPr>
          <w:sz w:val="20"/>
          <w:szCs w:val="20"/>
        </w:rPr>
      </w:pPr>
    </w:p>
    <w:p w:rsidR="001B4B2D" w:rsidRDefault="001B4B2D" w:rsidP="0022274C">
      <w:pPr>
        <w:jc w:val="right"/>
        <w:rPr>
          <w:sz w:val="20"/>
          <w:szCs w:val="20"/>
        </w:rPr>
      </w:pPr>
    </w:p>
    <w:p w:rsidR="001B4B2D" w:rsidRDefault="001B4B2D" w:rsidP="0022274C">
      <w:pPr>
        <w:jc w:val="right"/>
        <w:rPr>
          <w:sz w:val="20"/>
          <w:szCs w:val="20"/>
        </w:rPr>
      </w:pPr>
    </w:p>
    <w:p w:rsidR="001B4B2D" w:rsidRDefault="001B4B2D" w:rsidP="0022274C">
      <w:pPr>
        <w:jc w:val="right"/>
        <w:rPr>
          <w:sz w:val="20"/>
          <w:szCs w:val="20"/>
        </w:rPr>
      </w:pPr>
    </w:p>
    <w:p w:rsidR="001B4B2D" w:rsidRDefault="001B4B2D" w:rsidP="0022274C">
      <w:pPr>
        <w:jc w:val="right"/>
        <w:rPr>
          <w:sz w:val="20"/>
          <w:szCs w:val="20"/>
        </w:rPr>
      </w:pPr>
    </w:p>
    <w:p w:rsidR="001B4B2D" w:rsidRDefault="001B4B2D" w:rsidP="0022274C">
      <w:pPr>
        <w:jc w:val="right"/>
        <w:rPr>
          <w:sz w:val="20"/>
          <w:szCs w:val="20"/>
        </w:rPr>
      </w:pPr>
    </w:p>
    <w:p w:rsidR="001B4B2D" w:rsidRDefault="001B4B2D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1"/>
        <w:gridCol w:w="2320"/>
        <w:gridCol w:w="1260"/>
        <w:gridCol w:w="1260"/>
        <w:gridCol w:w="1287"/>
        <w:gridCol w:w="1323"/>
        <w:gridCol w:w="1340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spellStart"/>
            <w:proofErr w:type="gramStart"/>
            <w:r w:rsidRPr="001B6391">
              <w:t>п</w:t>
            </w:r>
            <w:proofErr w:type="spellEnd"/>
            <w:proofErr w:type="gramEnd"/>
            <w:r w:rsidRPr="001B6391">
              <w:t>/</w:t>
            </w:r>
            <w:proofErr w:type="spellStart"/>
            <w:r w:rsidRPr="001B6391"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1B4B2D" w:rsidP="0022274C">
            <w:r>
              <w:t xml:space="preserve">Псковский р-н, д. </w:t>
            </w:r>
            <w:proofErr w:type="spellStart"/>
            <w:r>
              <w:t>Писковичи</w:t>
            </w:r>
            <w:proofErr w:type="spellEnd"/>
            <w:r>
              <w:t xml:space="preserve">, ул. </w:t>
            </w:r>
            <w:proofErr w:type="spellStart"/>
            <w:r>
              <w:t>Гецентова</w:t>
            </w:r>
            <w:proofErr w:type="spellEnd"/>
            <w:r>
              <w:t>, д.10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1B4B2D" w:rsidP="006F2BB7">
            <w:pPr>
              <w:snapToGrid w:val="0"/>
            </w:pPr>
            <w:r>
              <w:t>9906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1B4B2D" w:rsidP="006F2BB7">
            <w:pPr>
              <w:snapToGrid w:val="0"/>
            </w:pPr>
            <w:r>
              <w:t>0,818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1B4B2D" w:rsidP="006F2BB7">
            <w:pPr>
              <w:snapToGrid w:val="0"/>
            </w:pPr>
            <w:r>
              <w:t>0,474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1B4B2D" w:rsidP="006F2BB7">
            <w:pPr>
              <w:snapToGrid w:val="0"/>
              <w:rPr>
                <w:b/>
              </w:rPr>
            </w:pPr>
            <w:r>
              <w:rPr>
                <w:b/>
              </w:rPr>
              <w:t>9906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1B4B2D" w:rsidP="006F2BB7">
            <w:pPr>
              <w:snapToGrid w:val="0"/>
              <w:rPr>
                <w:b/>
              </w:rPr>
            </w:pPr>
            <w:r>
              <w:rPr>
                <w:b/>
              </w:rPr>
              <w:t>0,818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1B4B2D" w:rsidP="006F2BB7">
            <w:pPr>
              <w:snapToGrid w:val="0"/>
              <w:rPr>
                <w:b/>
              </w:rPr>
            </w:pPr>
            <w:r>
              <w:rPr>
                <w:b/>
              </w:rPr>
              <w:t>0,474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1B4B2D" w:rsidRDefault="0022274C" w:rsidP="0022274C">
      <w:pPr>
        <w:tabs>
          <w:tab w:val="left" w:pos="5460"/>
        </w:tabs>
        <w:jc w:val="right"/>
        <w:rPr>
          <w:b/>
          <w:sz w:val="20"/>
          <w:szCs w:val="20"/>
        </w:rPr>
      </w:pPr>
      <w:r w:rsidRPr="004B36C5">
        <w:rPr>
          <w:b/>
          <w:sz w:val="20"/>
          <w:szCs w:val="20"/>
        </w:rPr>
        <w:t xml:space="preserve">                                                 </w:t>
      </w:r>
    </w:p>
    <w:p w:rsidR="001B4B2D" w:rsidRDefault="001B4B2D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1B4B2D" w:rsidRDefault="001B4B2D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1B4B2D" w:rsidRDefault="001B4B2D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    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spellStart"/>
            <w:proofErr w:type="gramStart"/>
            <w:r w:rsidRPr="001B6391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1B6391">
              <w:rPr>
                <w:b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A3"/>
    <w:rsid w:val="00002F11"/>
    <w:rsid w:val="000579F7"/>
    <w:rsid w:val="001477EC"/>
    <w:rsid w:val="00173C07"/>
    <w:rsid w:val="001B4B2D"/>
    <w:rsid w:val="001F1CCE"/>
    <w:rsid w:val="0022274C"/>
    <w:rsid w:val="00326221"/>
    <w:rsid w:val="003E6E5C"/>
    <w:rsid w:val="00420921"/>
    <w:rsid w:val="005D7E79"/>
    <w:rsid w:val="006259A3"/>
    <w:rsid w:val="006341A1"/>
    <w:rsid w:val="007D68C6"/>
    <w:rsid w:val="0081095B"/>
    <w:rsid w:val="00870882"/>
    <w:rsid w:val="009E1DDE"/>
    <w:rsid w:val="00A427F0"/>
    <w:rsid w:val="00C15882"/>
    <w:rsid w:val="00CC1325"/>
    <w:rsid w:val="00D86172"/>
    <w:rsid w:val="00F44BC9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ployenergetika/" TargetMode="External"/><Relationship Id="rId13" Type="http://schemas.openxmlformats.org/officeDocument/2006/relationships/hyperlink" Target="mailto:gazresurs2011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ublichnie_oferti/" TargetMode="External"/><Relationship Id="rId12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teplosnabzhenie/" TargetMode="External"/><Relationship Id="rId11" Type="http://schemas.openxmlformats.org/officeDocument/2006/relationships/hyperlink" Target="https://pandia.ru/text/category/akt_normativnij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gosudarstvennie_standar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2B13-7E7E-4C63-A0DA-91E67AD0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5</cp:revision>
  <dcterms:created xsi:type="dcterms:W3CDTF">2021-09-23T06:34:00Z</dcterms:created>
  <dcterms:modified xsi:type="dcterms:W3CDTF">2021-09-23T14:15:00Z</dcterms:modified>
</cp:coreProperties>
</file>