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д.</w:t>
      </w:r>
      <w:r w:rsidR="00002F11">
        <w:rPr>
          <w:rFonts w:eastAsia="Times New Roman"/>
          <w:b/>
          <w:sz w:val="22"/>
          <w:lang w:eastAsia="ru-RU"/>
        </w:rPr>
        <w:t>Писковичи</w:t>
      </w:r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Г</w:t>
      </w:r>
      <w:proofErr w:type="gramEnd"/>
      <w:r w:rsidR="00002F11">
        <w:rPr>
          <w:rFonts w:eastAsia="Times New Roman"/>
          <w:b/>
          <w:sz w:val="22"/>
          <w:lang w:eastAsia="ru-RU"/>
        </w:rPr>
        <w:t>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81095B" w:rsidRPr="0081095B">
        <w:rPr>
          <w:rFonts w:eastAsia="Times New Roman"/>
          <w:b/>
          <w:sz w:val="22"/>
          <w:lang w:eastAsia="ru-RU"/>
        </w:rPr>
        <w:t>2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03202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1567FB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1567FB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1567FB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560A9F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560A9F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560A9F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д.</w:t>
      </w:r>
      <w:r w:rsidR="00002F11">
        <w:rPr>
          <w:rFonts w:eastAsia="Times New Roman"/>
          <w:sz w:val="22"/>
          <w:lang w:eastAsia="ru-RU"/>
        </w:rPr>
        <w:t>Писковичи</w:t>
      </w:r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Г</w:t>
      </w:r>
      <w:proofErr w:type="gramEnd"/>
      <w:r w:rsidR="00002F11">
        <w:rPr>
          <w:rFonts w:eastAsia="Times New Roman"/>
          <w:sz w:val="22"/>
          <w:lang w:eastAsia="ru-RU"/>
        </w:rPr>
        <w:t>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81095B" w:rsidRPr="0081095B">
        <w:rPr>
          <w:rFonts w:eastAsia="Times New Roman"/>
          <w:sz w:val="22"/>
          <w:lang w:eastAsia="ru-RU"/>
        </w:rPr>
        <w:t>2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560A9F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560A9F" w:rsidRDefault="00560A9F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603954">
        <w:rPr>
          <w:rFonts w:eastAsia="Times New Roman"/>
          <w:b/>
          <w:sz w:val="22"/>
          <w:lang w:eastAsia="ru-RU"/>
        </w:rPr>
        <w:t>0,376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603954">
        <w:rPr>
          <w:rFonts w:eastAsia="Times New Roman"/>
          <w:b/>
          <w:sz w:val="22"/>
          <w:lang w:eastAsia="ru-RU"/>
        </w:rPr>
        <w:t>0,125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603954">
        <w:rPr>
          <w:rFonts w:eastAsia="Times New Roman"/>
          <w:b/>
          <w:sz w:val="22"/>
          <w:lang w:eastAsia="ru-RU"/>
        </w:rPr>
        <w:t>0,251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60A9F" w:rsidRPr="00042477" w:rsidRDefault="00560A9F" w:rsidP="00560A9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560A9F" w:rsidRPr="00042477" w:rsidRDefault="00560A9F" w:rsidP="00560A9F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560A9F" w:rsidRPr="00042477" w:rsidRDefault="00560A9F" w:rsidP="00560A9F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560A9F" w:rsidRPr="00560A9F" w:rsidRDefault="00560A9F" w:rsidP="00560A9F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60A9F" w:rsidRPr="00042477" w:rsidRDefault="00560A9F" w:rsidP="00560A9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9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предоставленных Управляющей компанией, определенных при помощи </w:t>
      </w:r>
      <w:proofErr w:type="spellStart"/>
      <w:r w:rsidRPr="00042477">
        <w:rPr>
          <w:rFonts w:eastAsia="Times New Roman"/>
          <w:sz w:val="22"/>
          <w:lang w:eastAsia="ru-RU"/>
        </w:rPr>
        <w:t>общедомовых</w:t>
      </w:r>
      <w:proofErr w:type="spellEnd"/>
      <w:r w:rsidRPr="00042477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bookmarkStart w:id="0" w:name="_GoBack"/>
      <w:bookmarkEnd w:id="0"/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560A9F" w:rsidRDefault="00560A9F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603954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560A9F" w:rsidRPr="00042477" w:rsidRDefault="00560A9F" w:rsidP="00560A9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0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BF01A4" w:rsidRPr="004B36C5" w:rsidRDefault="00BF01A4" w:rsidP="00BF01A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BF01A4" w:rsidRPr="004B36C5" w:rsidRDefault="00BF01A4" w:rsidP="00BF01A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BF01A4" w:rsidRPr="001B6391" w:rsidRDefault="00BF01A4" w:rsidP="00BF01A4"/>
    <w:p w:rsidR="00BF01A4" w:rsidRDefault="00BF01A4" w:rsidP="00BF01A4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BF01A4" w:rsidRPr="001B6391" w:rsidRDefault="00BF01A4" w:rsidP="00BF01A4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BF01A4" w:rsidRDefault="00BF01A4" w:rsidP="00BF01A4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BF01A4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BF01A4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BF01A4" w:rsidRPr="004B36C5" w:rsidRDefault="00BF01A4" w:rsidP="00BF01A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BF01A4" w:rsidRPr="004B36C5" w:rsidRDefault="00BF01A4" w:rsidP="00BF01A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BF01A4" w:rsidRPr="001B6391" w:rsidRDefault="00BF01A4" w:rsidP="00BF01A4"/>
    <w:p w:rsidR="00BF01A4" w:rsidRPr="00B213DB" w:rsidRDefault="00BF01A4" w:rsidP="00BF01A4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BF01A4" w:rsidRDefault="00BF01A4" w:rsidP="00BF01A4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BF01A4" w:rsidRDefault="00BF01A4" w:rsidP="00BF01A4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F01A4" w:rsidRPr="00B213DB" w:rsidTr="003F08CE">
        <w:tc>
          <w:tcPr>
            <w:tcW w:w="9571" w:type="dxa"/>
            <w:gridSpan w:val="3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н</w:t>
            </w:r>
            <w:proofErr w:type="spellEnd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BF01A4" w:rsidRPr="00B213DB" w:rsidRDefault="00BF01A4" w:rsidP="00BF01A4">
      <w:pPr>
        <w:spacing w:after="200" w:line="276" w:lineRule="auto"/>
        <w:rPr>
          <w:rFonts w:ascii="Calibri" w:eastAsia="Calibri" w:hAnsi="Calibri"/>
          <w:sz w:val="22"/>
        </w:rPr>
      </w:pP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03954">
        <w:trPr>
          <w:cantSplit/>
        </w:trPr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03954">
        <w:trPr>
          <w:cantSplit/>
        </w:trPr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03954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22274C">
            <w:r>
              <w:t>Псковский р-н, д. Писковичи, ул. Гецентова, д.2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6F2BB7">
            <w:pPr>
              <w:snapToGrid w:val="0"/>
            </w:pPr>
            <w:r>
              <w:t>3539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6F2BB7">
            <w:pPr>
              <w:snapToGrid w:val="0"/>
            </w:pPr>
            <w:r>
              <w:t>0,376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6F2BB7">
            <w:pPr>
              <w:snapToGrid w:val="0"/>
            </w:pPr>
            <w:r>
              <w:t>0,125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603954" w:rsidRPr="001B6391" w:rsidTr="00603954">
        <w:tc>
          <w:tcPr>
            <w:tcW w:w="3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  <w:r>
              <w:t>3539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  <w:r>
              <w:t>0,376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  <w:r>
              <w:t>0,125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505397" w:rsidRDefault="00603954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603954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 </w:t>
      </w:r>
    </w:p>
    <w:p w:rsidR="00603954" w:rsidRDefault="0060395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603954" w:rsidRDefault="0060395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603954" w:rsidRDefault="0060395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02F11"/>
    <w:rsid w:val="00032024"/>
    <w:rsid w:val="000579F7"/>
    <w:rsid w:val="001477EC"/>
    <w:rsid w:val="001567FB"/>
    <w:rsid w:val="00173C07"/>
    <w:rsid w:val="001F1CCE"/>
    <w:rsid w:val="0022274C"/>
    <w:rsid w:val="00326221"/>
    <w:rsid w:val="003E6E5C"/>
    <w:rsid w:val="00560A9F"/>
    <w:rsid w:val="005D7E79"/>
    <w:rsid w:val="00603954"/>
    <w:rsid w:val="006259A3"/>
    <w:rsid w:val="006341A1"/>
    <w:rsid w:val="007D68C6"/>
    <w:rsid w:val="0081095B"/>
    <w:rsid w:val="009E1DDE"/>
    <w:rsid w:val="00A427F0"/>
    <w:rsid w:val="00BF01A4"/>
    <w:rsid w:val="00C15882"/>
    <w:rsid w:val="00CC1325"/>
    <w:rsid w:val="00E5570A"/>
    <w:rsid w:val="00E65750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BF01A4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mailto:gazresurs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2022-10-07T06:34:00Z</dcterms:created>
  <dcterms:modified xsi:type="dcterms:W3CDTF">2022-10-07T06:34:00Z</dcterms:modified>
</cp:coreProperties>
</file>