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3" w:rsidRPr="00493284" w:rsidRDefault="006259A3" w:rsidP="006259A3">
      <w:pPr>
        <w:spacing w:before="100" w:beforeAutospacing="1" w:after="100" w:afterAutospacing="1"/>
        <w:jc w:val="center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b/>
          <w:bCs/>
          <w:szCs w:val="24"/>
          <w:lang w:eastAsia="ru-RU"/>
        </w:rPr>
        <w:t>ПУБЛИЧНЫЙ ДОГОВОР-ОФЕРТА ТЕПЛОСНАБЖЕНИЯ</w:t>
      </w:r>
    </w:p>
    <w:p w:rsidR="006259A3" w:rsidRPr="00493284" w:rsidRDefault="006259A3" w:rsidP="006259A3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г</w:t>
      </w:r>
      <w:proofErr w:type="gramStart"/>
      <w:r w:rsidRPr="00493284">
        <w:rPr>
          <w:rFonts w:eastAsia="Times New Roman"/>
          <w:szCs w:val="24"/>
          <w:lang w:eastAsia="ru-RU"/>
        </w:rPr>
        <w:t>.П</w:t>
      </w:r>
      <w:proofErr w:type="gramEnd"/>
      <w:r w:rsidRPr="00493284">
        <w:rPr>
          <w:rFonts w:eastAsia="Times New Roman"/>
          <w:szCs w:val="24"/>
          <w:lang w:eastAsia="ru-RU"/>
        </w:rPr>
        <w:t>сков</w:t>
      </w:r>
    </w:p>
    <w:p w:rsidR="006259A3" w:rsidRPr="00493284" w:rsidRDefault="006259A3" w:rsidP="006259A3">
      <w:pPr>
        <w:ind w:firstLine="709"/>
        <w:jc w:val="both"/>
        <w:rPr>
          <w:rFonts w:eastAsia="Times New Roman"/>
          <w:b/>
          <w:szCs w:val="24"/>
          <w:lang w:eastAsia="ru-RU"/>
        </w:rPr>
      </w:pPr>
      <w:r w:rsidRPr="00493284">
        <w:rPr>
          <w:rFonts w:eastAsia="Times New Roman"/>
          <w:b/>
          <w:szCs w:val="24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493284">
        <w:rPr>
          <w:rFonts w:eastAsia="Times New Roman"/>
          <w:szCs w:val="24"/>
          <w:lang w:eastAsia="ru-RU"/>
        </w:rPr>
        <w:t xml:space="preserve">, именуемое в дальнейшем «Теплоснабжающая организация») </w:t>
      </w:r>
      <w:r w:rsidRPr="00493284">
        <w:rPr>
          <w:rFonts w:eastAsia="Times New Roman"/>
          <w:b/>
          <w:szCs w:val="24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5" w:tooltip="Теплоснабжение" w:history="1">
        <w:r w:rsidR="00644297">
          <w:rPr>
            <w:rFonts w:eastAsia="Times New Roman"/>
            <w:b/>
            <w:szCs w:val="24"/>
            <w:lang w:eastAsia="ru-RU"/>
          </w:rPr>
          <w:t>поставке</w:t>
        </w:r>
      </w:hyperlink>
      <w:r w:rsidR="00644297">
        <w:t xml:space="preserve"> </w:t>
      </w:r>
      <w:r w:rsidR="00644297" w:rsidRPr="00644297">
        <w:rPr>
          <w:b/>
        </w:rPr>
        <w:t>тепловой энергии</w:t>
      </w:r>
      <w:r w:rsidRPr="00493284">
        <w:rPr>
          <w:rFonts w:eastAsia="Times New Roman"/>
          <w:b/>
          <w:szCs w:val="24"/>
          <w:lang w:eastAsia="ru-RU"/>
        </w:rPr>
        <w:t xml:space="preserve">, </w:t>
      </w:r>
      <w:proofErr w:type="gramStart"/>
      <w:r w:rsidRPr="00493284">
        <w:rPr>
          <w:rFonts w:eastAsia="Times New Roman"/>
          <w:b/>
          <w:szCs w:val="24"/>
          <w:lang w:eastAsia="ru-RU"/>
        </w:rPr>
        <w:t>условия</w:t>
      </w:r>
      <w:proofErr w:type="gramEnd"/>
      <w:r w:rsidRPr="00493284">
        <w:rPr>
          <w:rFonts w:eastAsia="Times New Roman"/>
          <w:b/>
          <w:szCs w:val="24"/>
          <w:lang w:eastAsia="ru-RU"/>
        </w:rPr>
        <w:t xml:space="preserve"> которого приведены ниже в адрес физических лиц, проживающих </w:t>
      </w:r>
      <w:r w:rsidR="00644297">
        <w:rPr>
          <w:rFonts w:eastAsia="Times New Roman"/>
          <w:b/>
          <w:szCs w:val="24"/>
          <w:lang w:eastAsia="ru-RU"/>
        </w:rPr>
        <w:t xml:space="preserve">в многоквартирном жилом доме </w:t>
      </w:r>
      <w:r w:rsidRPr="00493284">
        <w:rPr>
          <w:rFonts w:eastAsia="Times New Roman"/>
          <w:b/>
          <w:szCs w:val="24"/>
          <w:lang w:eastAsia="ru-RU"/>
        </w:rPr>
        <w:t xml:space="preserve">по адресу: Псковская область, </w:t>
      </w:r>
      <w:r w:rsidR="00644297">
        <w:rPr>
          <w:rFonts w:eastAsia="Times New Roman"/>
          <w:b/>
          <w:szCs w:val="24"/>
          <w:lang w:eastAsia="ru-RU"/>
        </w:rPr>
        <w:t xml:space="preserve">Псковский р-н, д.Писковичи, </w:t>
      </w:r>
      <w:proofErr w:type="spellStart"/>
      <w:r w:rsidR="00644297">
        <w:rPr>
          <w:rFonts w:eastAsia="Times New Roman"/>
          <w:b/>
          <w:szCs w:val="24"/>
          <w:lang w:eastAsia="ru-RU"/>
        </w:rPr>
        <w:t>ул</w:t>
      </w:r>
      <w:proofErr w:type="gramStart"/>
      <w:r w:rsidR="00644297">
        <w:rPr>
          <w:rFonts w:eastAsia="Times New Roman"/>
          <w:b/>
          <w:szCs w:val="24"/>
          <w:lang w:eastAsia="ru-RU"/>
        </w:rPr>
        <w:t>.Г</w:t>
      </w:r>
      <w:proofErr w:type="gramEnd"/>
      <w:r w:rsidR="00644297">
        <w:rPr>
          <w:rFonts w:eastAsia="Times New Roman"/>
          <w:b/>
          <w:szCs w:val="24"/>
          <w:lang w:eastAsia="ru-RU"/>
        </w:rPr>
        <w:t>ецентова</w:t>
      </w:r>
      <w:proofErr w:type="spellEnd"/>
      <w:r w:rsidR="00644297">
        <w:rPr>
          <w:rFonts w:eastAsia="Times New Roman"/>
          <w:b/>
          <w:szCs w:val="24"/>
          <w:lang w:eastAsia="ru-RU"/>
        </w:rPr>
        <w:t>, д.5 (далее - Объект)</w:t>
      </w:r>
      <w:r w:rsidRPr="00493284">
        <w:rPr>
          <w:rFonts w:eastAsia="Times New Roman"/>
          <w:b/>
          <w:szCs w:val="24"/>
          <w:lang w:eastAsia="ru-RU"/>
        </w:rPr>
        <w:t>:</w:t>
      </w:r>
    </w:p>
    <w:p w:rsidR="006259A3" w:rsidRPr="00493284" w:rsidRDefault="006259A3" w:rsidP="006259A3">
      <w:pPr>
        <w:ind w:firstLine="709"/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6" w:tooltip="Публичные оферты" w:history="1">
        <w:r w:rsidRPr="00493284">
          <w:rPr>
            <w:rFonts w:eastAsia="Times New Roman"/>
            <w:szCs w:val="24"/>
            <w:lang w:eastAsia="ru-RU"/>
          </w:rPr>
          <w:t>публичной офертой</w:t>
        </w:r>
      </w:hyperlink>
      <w:r w:rsidRPr="00493284">
        <w:rPr>
          <w:rFonts w:eastAsia="Times New Roman"/>
          <w:szCs w:val="24"/>
          <w:lang w:eastAsia="ru-RU"/>
        </w:rPr>
        <w:t>.</w:t>
      </w:r>
    </w:p>
    <w:p w:rsidR="006259A3" w:rsidRPr="00493284" w:rsidRDefault="006259A3" w:rsidP="006259A3">
      <w:pPr>
        <w:ind w:firstLine="709"/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 xml:space="preserve">Настоящая оферта (далее Оферта) вступает в силу с </w:t>
      </w:r>
      <w:r w:rsidR="00644297">
        <w:rPr>
          <w:rFonts w:eastAsia="Times New Roman"/>
          <w:szCs w:val="24"/>
          <w:lang w:eastAsia="ru-RU"/>
        </w:rPr>
        <w:t>10</w:t>
      </w:r>
      <w:r w:rsidR="003E6E5C" w:rsidRPr="00493284">
        <w:rPr>
          <w:rFonts w:eastAsia="Times New Roman"/>
          <w:szCs w:val="24"/>
          <w:lang w:eastAsia="ru-RU"/>
        </w:rPr>
        <w:t xml:space="preserve"> </w:t>
      </w:r>
      <w:r w:rsidR="00644297">
        <w:rPr>
          <w:rFonts w:eastAsia="Times New Roman"/>
          <w:szCs w:val="24"/>
          <w:lang w:eastAsia="ru-RU"/>
        </w:rPr>
        <w:t>ноября</w:t>
      </w:r>
      <w:r w:rsidR="003E6E5C" w:rsidRPr="00493284">
        <w:rPr>
          <w:rFonts w:eastAsia="Times New Roman"/>
          <w:szCs w:val="24"/>
          <w:lang w:eastAsia="ru-RU"/>
        </w:rPr>
        <w:t xml:space="preserve"> 202</w:t>
      </w:r>
      <w:r w:rsidR="00644297">
        <w:rPr>
          <w:rFonts w:eastAsia="Times New Roman"/>
          <w:szCs w:val="24"/>
          <w:lang w:eastAsia="ru-RU"/>
        </w:rPr>
        <w:t>3</w:t>
      </w:r>
      <w:r w:rsidR="003E6E5C" w:rsidRPr="00493284">
        <w:rPr>
          <w:rFonts w:eastAsia="Times New Roman"/>
          <w:szCs w:val="24"/>
          <w:lang w:eastAsia="ru-RU"/>
        </w:rPr>
        <w:t xml:space="preserve"> года </w:t>
      </w:r>
      <w:r w:rsidRPr="00493284">
        <w:rPr>
          <w:rFonts w:eastAsia="Times New Roman"/>
          <w:szCs w:val="24"/>
          <w:lang w:eastAsia="ru-RU"/>
        </w:rPr>
        <w:t>и действует до момента отзыва Оферты Теплоснабжающей организацией.</w:t>
      </w:r>
    </w:p>
    <w:p w:rsidR="006259A3" w:rsidRPr="00493284" w:rsidRDefault="006259A3" w:rsidP="006259A3">
      <w:pPr>
        <w:ind w:firstLine="709"/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="002C3C20" w:rsidRPr="00493284">
        <w:rPr>
          <w:rFonts w:eastAsia="Times New Roman"/>
          <w:b/>
          <w:szCs w:val="24"/>
          <w:u w:val="single"/>
          <w:lang w:val="en-US" w:eastAsia="ru-RU"/>
        </w:rPr>
        <w:t>https</w:t>
      </w:r>
      <w:r w:rsidR="002C3C20" w:rsidRPr="00493284">
        <w:rPr>
          <w:rFonts w:eastAsia="Times New Roman"/>
          <w:b/>
          <w:szCs w:val="24"/>
          <w:u w:val="single"/>
          <w:lang w:eastAsia="ru-RU"/>
        </w:rPr>
        <w:t>://</w:t>
      </w:r>
      <w:proofErr w:type="spellStart"/>
      <w:r w:rsidR="002C3C20" w:rsidRPr="00493284">
        <w:rPr>
          <w:rFonts w:eastAsia="Times New Roman"/>
          <w:b/>
          <w:szCs w:val="24"/>
          <w:u w:val="single"/>
          <w:lang w:val="en-US" w:eastAsia="ru-RU"/>
        </w:rPr>
        <w:t>gazresurs</w:t>
      </w:r>
      <w:proofErr w:type="spellEnd"/>
      <w:r w:rsidR="002C3C20" w:rsidRPr="00493284">
        <w:rPr>
          <w:rFonts w:eastAsia="Times New Roman"/>
          <w:b/>
          <w:szCs w:val="24"/>
          <w:u w:val="single"/>
          <w:lang w:eastAsia="ru-RU"/>
        </w:rPr>
        <w:t>-</w:t>
      </w:r>
      <w:proofErr w:type="spellStart"/>
      <w:r w:rsidR="002C3C20" w:rsidRPr="00493284">
        <w:rPr>
          <w:rFonts w:eastAsia="Times New Roman"/>
          <w:b/>
          <w:szCs w:val="24"/>
          <w:u w:val="single"/>
          <w:lang w:val="en-US" w:eastAsia="ru-RU"/>
        </w:rPr>
        <w:t>psk</w:t>
      </w:r>
      <w:proofErr w:type="spellEnd"/>
      <w:r w:rsidR="002C3C20" w:rsidRPr="00493284">
        <w:rPr>
          <w:rFonts w:eastAsia="Times New Roman"/>
          <w:b/>
          <w:szCs w:val="24"/>
          <w:u w:val="single"/>
          <w:lang w:eastAsia="ru-RU"/>
        </w:rPr>
        <w:t>.</w:t>
      </w:r>
      <w:proofErr w:type="spellStart"/>
      <w:r w:rsidR="002C3C20" w:rsidRPr="00493284">
        <w:rPr>
          <w:rFonts w:eastAsia="Times New Roman"/>
          <w:b/>
          <w:szCs w:val="24"/>
          <w:u w:val="single"/>
          <w:lang w:val="en-US" w:eastAsia="ru-RU"/>
        </w:rPr>
        <w:t>ru</w:t>
      </w:r>
      <w:proofErr w:type="spellEnd"/>
      <w:r w:rsidR="002C3C20" w:rsidRPr="00493284">
        <w:rPr>
          <w:rFonts w:eastAsia="Times New Roman"/>
          <w:b/>
          <w:szCs w:val="24"/>
          <w:u w:val="single"/>
          <w:lang w:eastAsia="ru-RU"/>
        </w:rPr>
        <w:t>/</w:t>
      </w:r>
      <w:proofErr w:type="spellStart"/>
      <w:r w:rsidR="002C3C20" w:rsidRPr="00493284">
        <w:rPr>
          <w:rFonts w:eastAsia="Times New Roman"/>
          <w:b/>
          <w:szCs w:val="24"/>
          <w:u w:val="single"/>
          <w:lang w:val="en-US" w:eastAsia="ru-RU"/>
        </w:rPr>
        <w:t>teplosnabzhenie</w:t>
      </w:r>
      <w:proofErr w:type="spellEnd"/>
      <w:r w:rsidR="002C3C20" w:rsidRPr="00493284">
        <w:rPr>
          <w:rFonts w:eastAsia="Times New Roman"/>
          <w:b/>
          <w:szCs w:val="24"/>
          <w:u w:val="single"/>
          <w:lang w:eastAsia="ru-RU"/>
        </w:rPr>
        <w:t>/</w:t>
      </w:r>
      <w:r w:rsidRPr="00493284">
        <w:rPr>
          <w:rFonts w:eastAsia="Times New Roman"/>
          <w:szCs w:val="24"/>
          <w:lang w:eastAsia="ru-RU"/>
        </w:rPr>
        <w:t>, если иной срок не указан Теплоснабжающей организацией.</w:t>
      </w:r>
    </w:p>
    <w:p w:rsidR="006259A3" w:rsidRPr="00493284" w:rsidRDefault="006259A3" w:rsidP="006259A3">
      <w:pPr>
        <w:ind w:firstLine="709"/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493284">
        <w:rPr>
          <w:rFonts w:eastAsia="Times New Roman"/>
          <w:szCs w:val="24"/>
          <w:lang w:eastAsia="ru-RU"/>
        </w:rPr>
        <w:t>пп</w:t>
      </w:r>
      <w:proofErr w:type="spellEnd"/>
      <w:r w:rsidRPr="00493284">
        <w:rPr>
          <w:rFonts w:eastAsia="Times New Roman"/>
          <w:szCs w:val="24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Pr="00493284" w:rsidRDefault="006259A3" w:rsidP="006259A3">
      <w:pPr>
        <w:jc w:val="center"/>
        <w:rPr>
          <w:rFonts w:eastAsia="Times New Roman"/>
          <w:b/>
          <w:bCs/>
          <w:szCs w:val="24"/>
          <w:lang w:eastAsia="ru-RU"/>
        </w:rPr>
      </w:pPr>
    </w:p>
    <w:p w:rsidR="006259A3" w:rsidRPr="00493284" w:rsidRDefault="006259A3" w:rsidP="006259A3">
      <w:pPr>
        <w:jc w:val="center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b/>
          <w:bCs/>
          <w:szCs w:val="24"/>
          <w:lang w:eastAsia="ru-RU"/>
        </w:rPr>
        <w:t>ПУБЛИЧНЫЙ ДОГОВОР-ОФЕРТА</w:t>
      </w:r>
    </w:p>
    <w:p w:rsidR="006259A3" w:rsidRPr="00493284" w:rsidRDefault="006259A3" w:rsidP="006259A3">
      <w:pPr>
        <w:ind w:firstLine="709"/>
        <w:jc w:val="both"/>
        <w:rPr>
          <w:rFonts w:eastAsia="Times New Roman"/>
          <w:szCs w:val="24"/>
          <w:lang w:eastAsia="ru-RU"/>
        </w:rPr>
      </w:pPr>
      <w:proofErr w:type="gramStart"/>
      <w:r w:rsidRPr="00493284">
        <w:rPr>
          <w:rFonts w:eastAsia="Times New Roman"/>
          <w:szCs w:val="24"/>
          <w:lang w:eastAsia="ru-RU"/>
        </w:rPr>
        <w:t>Общество с ограниченной ответственностью «ГазРесурс» (сокращенное наименование – ООО «ГазРесурс», именуемое в дальнейшем «</w:t>
      </w:r>
      <w:r w:rsidRPr="00493284">
        <w:rPr>
          <w:rFonts w:eastAsia="Times New Roman"/>
          <w:b/>
          <w:szCs w:val="24"/>
          <w:lang w:eastAsia="ru-RU"/>
        </w:rPr>
        <w:t>Теплоснабжающая организация</w:t>
      </w:r>
      <w:r w:rsidRPr="00493284">
        <w:rPr>
          <w:rFonts w:eastAsia="Times New Roman"/>
          <w:szCs w:val="24"/>
          <w:lang w:eastAsia="ru-RU"/>
        </w:rPr>
        <w:t>».</w:t>
      </w:r>
      <w:proofErr w:type="gramEnd"/>
      <w:r w:rsidRPr="00493284">
        <w:rPr>
          <w:rFonts w:eastAsia="Times New Roman"/>
          <w:szCs w:val="24"/>
          <w:lang w:eastAsia="ru-RU"/>
        </w:rPr>
        <w:t xml:space="preserve"> «Исполнитель») в лице генерального директора Демина Вячеслава Александровича, действующего на основании Устава с одной стороны, и граждани</w:t>
      </w:r>
      <w:proofErr w:type="gramStart"/>
      <w:r w:rsidRPr="00493284">
        <w:rPr>
          <w:rFonts w:eastAsia="Times New Roman"/>
          <w:szCs w:val="24"/>
          <w:lang w:eastAsia="ru-RU"/>
        </w:rPr>
        <w:t>н(</w:t>
      </w:r>
      <w:proofErr w:type="spellStart"/>
      <w:proofErr w:type="gramEnd"/>
      <w:r w:rsidRPr="00493284">
        <w:rPr>
          <w:rFonts w:eastAsia="Times New Roman"/>
          <w:szCs w:val="24"/>
          <w:lang w:eastAsia="ru-RU"/>
        </w:rPr>
        <w:t>ка</w:t>
      </w:r>
      <w:proofErr w:type="spellEnd"/>
      <w:r w:rsidRPr="00493284">
        <w:rPr>
          <w:rFonts w:eastAsia="Times New Roman"/>
          <w:szCs w:val="24"/>
          <w:lang w:eastAsia="ru-RU"/>
        </w:rPr>
        <w:t>)</w:t>
      </w:r>
      <w:r w:rsidR="002435F6">
        <w:rPr>
          <w:rFonts w:eastAsia="Times New Roman"/>
          <w:szCs w:val="24"/>
          <w:lang w:eastAsia="ru-RU"/>
        </w:rPr>
        <w:t>/юридическое лицо</w:t>
      </w:r>
      <w:r w:rsidRPr="00493284">
        <w:rPr>
          <w:rFonts w:eastAsia="Times New Roman"/>
          <w:szCs w:val="24"/>
          <w:lang w:eastAsia="ru-RU"/>
        </w:rPr>
        <w:t>, являющийся (</w:t>
      </w:r>
      <w:proofErr w:type="spellStart"/>
      <w:r w:rsidRPr="00493284">
        <w:rPr>
          <w:rFonts w:eastAsia="Times New Roman"/>
          <w:szCs w:val="24"/>
          <w:lang w:eastAsia="ru-RU"/>
        </w:rPr>
        <w:t>аяся</w:t>
      </w:r>
      <w:proofErr w:type="spellEnd"/>
      <w:r w:rsidRPr="00493284">
        <w:rPr>
          <w:rFonts w:eastAsia="Times New Roman"/>
          <w:szCs w:val="24"/>
          <w:lang w:eastAsia="ru-RU"/>
        </w:rPr>
        <w:t>) собственником (пользователем) жилого</w:t>
      </w:r>
      <w:r w:rsidR="00644297">
        <w:rPr>
          <w:rFonts w:eastAsia="Times New Roman"/>
          <w:szCs w:val="24"/>
          <w:lang w:eastAsia="ru-RU"/>
        </w:rPr>
        <w:t xml:space="preserve"> и нежилого</w:t>
      </w:r>
      <w:r w:rsidRPr="00493284">
        <w:rPr>
          <w:rFonts w:eastAsia="Times New Roman"/>
          <w:szCs w:val="24"/>
          <w:lang w:eastAsia="ru-RU"/>
        </w:rPr>
        <w:t xml:space="preserve"> помещения</w:t>
      </w:r>
      <w:r w:rsidR="00644297">
        <w:rPr>
          <w:rFonts w:eastAsia="Times New Roman"/>
          <w:szCs w:val="24"/>
          <w:lang w:eastAsia="ru-RU"/>
        </w:rPr>
        <w:t>,</w:t>
      </w:r>
      <w:r w:rsidRPr="00493284">
        <w:rPr>
          <w:rFonts w:eastAsia="Times New Roman"/>
          <w:szCs w:val="24"/>
          <w:lang w:eastAsia="ru-RU"/>
        </w:rPr>
        <w:t xml:space="preserve"> </w:t>
      </w:r>
      <w:r w:rsidRPr="00644297">
        <w:rPr>
          <w:rFonts w:eastAsia="Times New Roman"/>
          <w:szCs w:val="24"/>
          <w:lang w:eastAsia="ru-RU"/>
        </w:rPr>
        <w:t>расположенно</w:t>
      </w:r>
      <w:r w:rsidR="00644297">
        <w:rPr>
          <w:rFonts w:eastAsia="Times New Roman"/>
          <w:szCs w:val="24"/>
          <w:lang w:eastAsia="ru-RU"/>
        </w:rPr>
        <w:t>го</w:t>
      </w:r>
      <w:r w:rsidRPr="00644297">
        <w:rPr>
          <w:rFonts w:eastAsia="Times New Roman"/>
          <w:szCs w:val="24"/>
          <w:lang w:eastAsia="ru-RU"/>
        </w:rPr>
        <w:t xml:space="preserve"> по адресу: </w:t>
      </w:r>
      <w:r w:rsidR="00644297" w:rsidRPr="00644297">
        <w:rPr>
          <w:rFonts w:eastAsia="Times New Roman"/>
          <w:szCs w:val="24"/>
          <w:lang w:eastAsia="ru-RU"/>
        </w:rPr>
        <w:t xml:space="preserve">Псковская область, Псковский р-н, д.Писковичи, </w:t>
      </w:r>
      <w:proofErr w:type="spellStart"/>
      <w:r w:rsidR="00644297" w:rsidRPr="00644297">
        <w:rPr>
          <w:rFonts w:eastAsia="Times New Roman"/>
          <w:szCs w:val="24"/>
          <w:lang w:eastAsia="ru-RU"/>
        </w:rPr>
        <w:t>ул</w:t>
      </w:r>
      <w:proofErr w:type="gramStart"/>
      <w:r w:rsidR="00644297" w:rsidRPr="00644297">
        <w:rPr>
          <w:rFonts w:eastAsia="Times New Roman"/>
          <w:szCs w:val="24"/>
          <w:lang w:eastAsia="ru-RU"/>
        </w:rPr>
        <w:t>.Г</w:t>
      </w:r>
      <w:proofErr w:type="gramEnd"/>
      <w:r w:rsidR="00644297" w:rsidRPr="00644297">
        <w:rPr>
          <w:rFonts w:eastAsia="Times New Roman"/>
          <w:szCs w:val="24"/>
          <w:lang w:eastAsia="ru-RU"/>
        </w:rPr>
        <w:t>ецентова</w:t>
      </w:r>
      <w:proofErr w:type="spellEnd"/>
      <w:r w:rsidR="00644297" w:rsidRPr="00644297">
        <w:rPr>
          <w:rFonts w:eastAsia="Times New Roman"/>
          <w:szCs w:val="24"/>
          <w:lang w:eastAsia="ru-RU"/>
        </w:rPr>
        <w:t>, д.5</w:t>
      </w:r>
      <w:r w:rsidRPr="00644297">
        <w:rPr>
          <w:rFonts w:eastAsia="Times New Roman"/>
          <w:szCs w:val="24"/>
          <w:lang w:eastAsia="ru-RU"/>
        </w:rPr>
        <w:t>,</w:t>
      </w:r>
      <w:r w:rsidRPr="00493284">
        <w:rPr>
          <w:rFonts w:eastAsia="Times New Roman"/>
          <w:szCs w:val="24"/>
          <w:lang w:eastAsia="ru-RU"/>
        </w:rPr>
        <w:t xml:space="preserve"> именуемый в дальнейшем «</w:t>
      </w:r>
      <w:r w:rsidRPr="00493284">
        <w:rPr>
          <w:rFonts w:eastAsia="Times New Roman"/>
          <w:b/>
          <w:szCs w:val="24"/>
          <w:lang w:eastAsia="ru-RU"/>
        </w:rPr>
        <w:t>Потребитель</w:t>
      </w:r>
      <w:r w:rsidRPr="00493284">
        <w:rPr>
          <w:rFonts w:eastAsia="Times New Roman"/>
          <w:szCs w:val="24"/>
          <w:lang w:eastAsia="ru-RU"/>
        </w:rPr>
        <w:t>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6259A3" w:rsidRPr="00493284" w:rsidRDefault="006259A3" w:rsidP="006259A3">
      <w:pPr>
        <w:jc w:val="center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b/>
          <w:bCs/>
          <w:szCs w:val="24"/>
          <w:lang w:eastAsia="ru-RU"/>
        </w:rPr>
        <w:t>1. ПРЕДМЕТ ДОГОВОРА</w:t>
      </w:r>
    </w:p>
    <w:p w:rsidR="006259A3" w:rsidRPr="00493284" w:rsidRDefault="006259A3" w:rsidP="006259A3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 xml:space="preserve">1.1. </w:t>
      </w:r>
      <w:proofErr w:type="gramStart"/>
      <w:r w:rsidRPr="00493284">
        <w:rPr>
          <w:rFonts w:eastAsia="Times New Roman"/>
          <w:szCs w:val="24"/>
          <w:lang w:eastAsia="ru-RU"/>
        </w:rPr>
        <w:t xml:space="preserve">Теплоснабжающая организация обязуется подавать Потребителю </w:t>
      </w:r>
      <w:hyperlink r:id="rId7" w:tooltip="Теплоэнергетика" w:history="1">
        <w:r w:rsidRPr="00493284">
          <w:rPr>
            <w:rFonts w:eastAsia="Times New Roman"/>
            <w:szCs w:val="24"/>
            <w:lang w:eastAsia="ru-RU"/>
          </w:rPr>
          <w:t>тепловую энергию</w:t>
        </w:r>
      </w:hyperlink>
      <w:r w:rsidRPr="00493284">
        <w:rPr>
          <w:rFonts w:eastAsia="Times New Roman"/>
          <w:szCs w:val="24"/>
          <w:lang w:eastAsia="ru-RU"/>
        </w:rPr>
        <w:t xml:space="preserve"> </w:t>
      </w:r>
      <w:r w:rsidR="00644297">
        <w:rPr>
          <w:rFonts w:eastAsia="Times New Roman"/>
          <w:szCs w:val="24"/>
          <w:lang w:eastAsia="ru-RU"/>
        </w:rPr>
        <w:t>в целях</w:t>
      </w:r>
      <w:r w:rsidRPr="00493284">
        <w:rPr>
          <w:rFonts w:eastAsia="Times New Roman"/>
          <w:szCs w:val="24"/>
          <w:lang w:eastAsia="ru-RU"/>
        </w:rPr>
        <w:t xml:space="preserve"> отопления и горячего водоснабжения жилого </w:t>
      </w:r>
      <w:r w:rsidR="00644297">
        <w:rPr>
          <w:rFonts w:eastAsia="Times New Roman"/>
          <w:szCs w:val="24"/>
          <w:lang w:eastAsia="ru-RU"/>
        </w:rPr>
        <w:t xml:space="preserve">и нежилого </w:t>
      </w:r>
      <w:r w:rsidRPr="00493284">
        <w:rPr>
          <w:rFonts w:eastAsia="Times New Roman"/>
          <w:szCs w:val="24"/>
          <w:lang w:eastAsia="ru-RU"/>
        </w:rPr>
        <w:t>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 и горячего водоснабжения, соблюдая режим потребления тепловой энергии, и оплачивать принятую тепловую энергию в порядке и сроки, указанные в Договоре.</w:t>
      </w:r>
      <w:proofErr w:type="gramEnd"/>
    </w:p>
    <w:p w:rsidR="006259A3" w:rsidRPr="00493284" w:rsidRDefault="006259A3" w:rsidP="006259A3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1.2. Площадь отапливаемых помещений Объекта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Объект.</w:t>
      </w:r>
    </w:p>
    <w:p w:rsidR="006259A3" w:rsidRPr="00644297" w:rsidRDefault="006259A3" w:rsidP="006259A3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 xml:space="preserve">1.3. Начало и окончание периодов подачи Теплоснабжающей организацией тепловой энергии </w:t>
      </w:r>
      <w:r w:rsidRPr="00644297">
        <w:rPr>
          <w:rFonts w:eastAsia="Times New Roman"/>
          <w:szCs w:val="24"/>
          <w:lang w:eastAsia="ru-RU"/>
        </w:rPr>
        <w:t xml:space="preserve">Потребителю на цели отопления определяются началом и концом отопительного сезона, установленными нормативными документами </w:t>
      </w:r>
      <w:hyperlink r:id="rId8" w:tooltip="Органы местного самоуправления" w:history="1">
        <w:r w:rsidRPr="00644297">
          <w:rPr>
            <w:rFonts w:eastAsia="Times New Roman"/>
            <w:szCs w:val="24"/>
            <w:lang w:eastAsia="ru-RU"/>
          </w:rPr>
          <w:t>органа местного самоуправления</w:t>
        </w:r>
      </w:hyperlink>
      <w:r w:rsidRPr="00644297">
        <w:rPr>
          <w:rFonts w:eastAsia="Times New Roman"/>
          <w:szCs w:val="24"/>
          <w:lang w:eastAsia="ru-RU"/>
        </w:rPr>
        <w:t xml:space="preserve"> по месту деятельности Теплоснабжающей организации.</w:t>
      </w:r>
    </w:p>
    <w:p w:rsidR="00644297" w:rsidRPr="00644297" w:rsidRDefault="00F5191D" w:rsidP="00644297">
      <w:pPr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644297">
        <w:rPr>
          <w:rFonts w:eastAsia="Times New Roman"/>
          <w:szCs w:val="24"/>
          <w:lang w:eastAsia="ru-RU"/>
        </w:rPr>
        <w:t xml:space="preserve">1.4. </w:t>
      </w:r>
      <w:r w:rsidR="00644297" w:rsidRPr="00644297">
        <w:rPr>
          <w:rFonts w:eastAsia="Times New Roman"/>
          <w:color w:val="000000" w:themeColor="text1"/>
          <w:szCs w:val="24"/>
          <w:lang w:eastAsia="ru-RU"/>
        </w:rPr>
        <w:t xml:space="preserve">Подключенная тепловая нагрузка </w:t>
      </w:r>
      <w:r w:rsidR="00644297" w:rsidRPr="00644297">
        <w:rPr>
          <w:rFonts w:eastAsia="Times New Roman"/>
          <w:b/>
          <w:color w:val="000000" w:themeColor="text1"/>
          <w:szCs w:val="24"/>
          <w:lang w:eastAsia="ru-RU"/>
        </w:rPr>
        <w:t>0,7374 Гкал/час</w:t>
      </w:r>
      <w:r w:rsidR="00644297" w:rsidRPr="00644297">
        <w:rPr>
          <w:rFonts w:eastAsia="Times New Roman"/>
          <w:color w:val="000000" w:themeColor="text1"/>
          <w:szCs w:val="24"/>
          <w:lang w:eastAsia="ru-RU"/>
        </w:rPr>
        <w:t xml:space="preserve">: на отопление – </w:t>
      </w:r>
      <w:r w:rsidR="00644297" w:rsidRPr="00644297">
        <w:rPr>
          <w:rFonts w:eastAsia="Times New Roman"/>
          <w:b/>
          <w:color w:val="000000" w:themeColor="text1"/>
          <w:szCs w:val="24"/>
          <w:lang w:eastAsia="ru-RU"/>
        </w:rPr>
        <w:t>0,4854 Гкал/час</w:t>
      </w:r>
      <w:r w:rsidR="00644297" w:rsidRPr="00644297">
        <w:rPr>
          <w:rFonts w:eastAsia="Times New Roman"/>
          <w:color w:val="000000" w:themeColor="text1"/>
          <w:szCs w:val="24"/>
          <w:lang w:eastAsia="ru-RU"/>
        </w:rPr>
        <w:t xml:space="preserve"> при температуре -25 градусов, на горячее водоснабжение – </w:t>
      </w:r>
      <w:r w:rsidR="00644297" w:rsidRPr="00644297">
        <w:rPr>
          <w:rFonts w:eastAsia="Times New Roman"/>
          <w:b/>
          <w:color w:val="000000" w:themeColor="text1"/>
          <w:szCs w:val="24"/>
          <w:lang w:eastAsia="ru-RU"/>
        </w:rPr>
        <w:t>0,252 Гкал/час</w:t>
      </w:r>
      <w:r w:rsidR="00644297" w:rsidRPr="00644297">
        <w:rPr>
          <w:rFonts w:eastAsia="Times New Roman"/>
          <w:color w:val="000000" w:themeColor="text1"/>
          <w:szCs w:val="24"/>
          <w:lang w:eastAsia="ru-RU"/>
        </w:rPr>
        <w:t>.</w:t>
      </w:r>
    </w:p>
    <w:p w:rsidR="00F5191D" w:rsidRPr="00493284" w:rsidRDefault="0022274C" w:rsidP="00F5191D">
      <w:pPr>
        <w:jc w:val="both"/>
        <w:rPr>
          <w:szCs w:val="24"/>
        </w:rPr>
      </w:pPr>
      <w:r w:rsidRPr="00644297">
        <w:rPr>
          <w:iCs/>
          <w:szCs w:val="24"/>
        </w:rPr>
        <w:t xml:space="preserve">1.5. </w:t>
      </w:r>
      <w:r w:rsidR="00F5191D" w:rsidRPr="00644297">
        <w:rPr>
          <w:iCs/>
          <w:szCs w:val="24"/>
        </w:rPr>
        <w:t>Количество</w:t>
      </w:r>
      <w:r w:rsidR="00F5191D" w:rsidRPr="00493284">
        <w:rPr>
          <w:iCs/>
          <w:szCs w:val="24"/>
        </w:rPr>
        <w:t xml:space="preserve"> тепловой энергии, поставляемой </w:t>
      </w:r>
      <w:r w:rsidRPr="00493284">
        <w:rPr>
          <w:iCs/>
          <w:szCs w:val="24"/>
        </w:rPr>
        <w:t>Потребител</w:t>
      </w:r>
      <w:r w:rsidR="00644297">
        <w:rPr>
          <w:iCs/>
          <w:szCs w:val="24"/>
        </w:rPr>
        <w:t>ям</w:t>
      </w:r>
      <w:r w:rsidR="00F5191D" w:rsidRPr="00493284">
        <w:rPr>
          <w:iCs/>
          <w:szCs w:val="24"/>
        </w:rPr>
        <w:t xml:space="preserve">, определяется по аттестованному и допущенному к коммерческому использованию </w:t>
      </w:r>
      <w:r w:rsidR="00644297">
        <w:rPr>
          <w:iCs/>
          <w:szCs w:val="24"/>
        </w:rPr>
        <w:t xml:space="preserve">общедомовому </w:t>
      </w:r>
      <w:r w:rsidR="00F5191D" w:rsidRPr="00493284">
        <w:rPr>
          <w:iCs/>
          <w:szCs w:val="24"/>
        </w:rPr>
        <w:t>узлу учета тепловой энергии.</w:t>
      </w:r>
    </w:p>
    <w:p w:rsidR="00F5191D" w:rsidRPr="00644297" w:rsidRDefault="0022274C" w:rsidP="0022274C">
      <w:pPr>
        <w:jc w:val="both"/>
        <w:rPr>
          <w:szCs w:val="24"/>
        </w:rPr>
      </w:pPr>
      <w:r w:rsidRPr="00493284">
        <w:rPr>
          <w:szCs w:val="24"/>
        </w:rPr>
        <w:lastRenderedPageBreak/>
        <w:t xml:space="preserve">1.6. </w:t>
      </w:r>
      <w:r w:rsidR="00F5191D" w:rsidRPr="00493284">
        <w:rPr>
          <w:szCs w:val="24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принимаемой по СНиП.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493284">
        <w:rPr>
          <w:color w:val="202124"/>
          <w:szCs w:val="24"/>
          <w:shd w:val="clear" w:color="auto" w:fill="FFFFFF"/>
        </w:rPr>
        <w:t>не ниже 60</w:t>
      </w:r>
      <w:proofErr w:type="gramStart"/>
      <w:r w:rsidR="00F5191D" w:rsidRPr="00493284">
        <w:rPr>
          <w:color w:val="202124"/>
          <w:szCs w:val="24"/>
          <w:shd w:val="clear" w:color="auto" w:fill="FFFFFF"/>
        </w:rPr>
        <w:t>°С</w:t>
      </w:r>
      <w:proofErr w:type="gramEnd"/>
      <w:r w:rsidR="00F5191D" w:rsidRPr="00493284">
        <w:rPr>
          <w:color w:val="202124"/>
          <w:szCs w:val="24"/>
          <w:shd w:val="clear" w:color="auto" w:fill="FFFFFF"/>
        </w:rPr>
        <w:t xml:space="preserve"> и не выше 75°С</w:t>
      </w:r>
      <w:r w:rsidR="00F5191D" w:rsidRPr="00493284">
        <w:rPr>
          <w:szCs w:val="24"/>
        </w:rPr>
        <w:t xml:space="preserve">. Перечень максимальных тепловых нагрузок на </w:t>
      </w:r>
      <w:r w:rsidR="00F5191D" w:rsidRPr="00644297">
        <w:rPr>
          <w:szCs w:val="24"/>
        </w:rPr>
        <w:t xml:space="preserve">отопление и горячее водоснабжение теплопотребляющих установок </w:t>
      </w:r>
      <w:r w:rsidRPr="00644297">
        <w:rPr>
          <w:szCs w:val="24"/>
        </w:rPr>
        <w:t>Потребителя при</w:t>
      </w:r>
      <w:r w:rsidR="00F5191D" w:rsidRPr="00644297">
        <w:rPr>
          <w:szCs w:val="24"/>
        </w:rPr>
        <w:t>ведены в Приложении №</w:t>
      </w:r>
      <w:r w:rsidR="009E1DDE" w:rsidRPr="00644297">
        <w:rPr>
          <w:szCs w:val="24"/>
        </w:rPr>
        <w:t>2</w:t>
      </w:r>
      <w:r w:rsidR="00F5191D" w:rsidRPr="00644297">
        <w:rPr>
          <w:szCs w:val="24"/>
        </w:rPr>
        <w:t xml:space="preserve">. Планируемая годовая поставка тепловой энергии </w:t>
      </w:r>
      <w:r w:rsidRPr="00644297">
        <w:rPr>
          <w:szCs w:val="24"/>
        </w:rPr>
        <w:t>Потребителю</w:t>
      </w:r>
      <w:r w:rsidR="00F5191D" w:rsidRPr="00644297">
        <w:rPr>
          <w:szCs w:val="24"/>
        </w:rPr>
        <w:t xml:space="preserve"> составляет </w:t>
      </w:r>
      <w:r w:rsidR="00644297" w:rsidRPr="00644297">
        <w:rPr>
          <w:b/>
          <w:color w:val="000000" w:themeColor="text1"/>
          <w:szCs w:val="24"/>
        </w:rPr>
        <w:t>2 318,223</w:t>
      </w:r>
      <w:r w:rsidR="00644297" w:rsidRPr="00644297">
        <w:rPr>
          <w:color w:val="000000" w:themeColor="text1"/>
          <w:szCs w:val="24"/>
        </w:rPr>
        <w:t xml:space="preserve"> </w:t>
      </w:r>
      <w:r w:rsidR="00644297" w:rsidRPr="00644297">
        <w:rPr>
          <w:b/>
          <w:color w:val="000000" w:themeColor="text1"/>
          <w:szCs w:val="24"/>
        </w:rPr>
        <w:t>Гкал/год</w:t>
      </w:r>
      <w:r w:rsidR="00F5191D" w:rsidRPr="00644297">
        <w:rPr>
          <w:szCs w:val="24"/>
        </w:rPr>
        <w:t xml:space="preserve">. Расчет плановой поставки тепловой энергии приведен в Приложении № </w:t>
      </w:r>
      <w:r w:rsidRPr="00644297">
        <w:rPr>
          <w:szCs w:val="24"/>
        </w:rPr>
        <w:t>3</w:t>
      </w:r>
      <w:r w:rsidR="00F5191D" w:rsidRPr="00644297">
        <w:rPr>
          <w:szCs w:val="24"/>
        </w:rPr>
        <w:t xml:space="preserve">. </w:t>
      </w:r>
    </w:p>
    <w:p w:rsidR="009E1DDE" w:rsidRPr="00644297" w:rsidRDefault="009E1DDE" w:rsidP="006259A3">
      <w:pPr>
        <w:jc w:val="center"/>
        <w:rPr>
          <w:rFonts w:eastAsia="Times New Roman"/>
          <w:b/>
          <w:bCs/>
          <w:szCs w:val="24"/>
          <w:lang w:eastAsia="ru-RU"/>
        </w:rPr>
      </w:pPr>
    </w:p>
    <w:p w:rsidR="006259A3" w:rsidRPr="00493284" w:rsidRDefault="006259A3" w:rsidP="006259A3">
      <w:pPr>
        <w:jc w:val="center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b/>
          <w:bCs/>
          <w:szCs w:val="24"/>
          <w:lang w:eastAsia="ru-RU"/>
        </w:rPr>
        <w:t>2. Права и обязанности Сторон</w:t>
      </w:r>
    </w:p>
    <w:p w:rsidR="006259A3" w:rsidRPr="00493284" w:rsidRDefault="006259A3" w:rsidP="006259A3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b/>
          <w:szCs w:val="24"/>
          <w:lang w:eastAsia="ru-RU"/>
        </w:rPr>
        <w:t>2</w:t>
      </w:r>
      <w:r w:rsidRPr="00493284">
        <w:rPr>
          <w:rFonts w:eastAsia="Times New Roman"/>
          <w:b/>
          <w:bCs/>
          <w:szCs w:val="24"/>
          <w:lang w:eastAsia="ru-RU"/>
        </w:rPr>
        <w:t>.1</w:t>
      </w:r>
      <w:r w:rsidRPr="00493284">
        <w:rPr>
          <w:rFonts w:eastAsia="Times New Roman"/>
          <w:b/>
          <w:bCs/>
          <w:szCs w:val="24"/>
          <w:u w:val="single"/>
          <w:lang w:eastAsia="ru-RU"/>
        </w:rPr>
        <w:t>. Теплоснабжающая организация обязана</w:t>
      </w:r>
      <w:r w:rsidRPr="00493284">
        <w:rPr>
          <w:rFonts w:eastAsia="Times New Roman"/>
          <w:b/>
          <w:bCs/>
          <w:szCs w:val="24"/>
          <w:lang w:eastAsia="ru-RU"/>
        </w:rPr>
        <w:t>:</w:t>
      </w:r>
    </w:p>
    <w:p w:rsidR="006259A3" w:rsidRPr="00644297" w:rsidRDefault="006259A3" w:rsidP="009E1DDE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2.1.1. предоставлять Потребителю тепловую энергию в необходимых для него объемах</w:t>
      </w:r>
      <w:r w:rsidR="0022274C" w:rsidRPr="00493284">
        <w:rPr>
          <w:szCs w:val="24"/>
        </w:rPr>
        <w:t xml:space="preserve"> в количестве, предусмотренном настоящим Договором, с корректировкой в зависимости от </w:t>
      </w:r>
      <w:r w:rsidR="0022274C" w:rsidRPr="00644297">
        <w:rPr>
          <w:szCs w:val="24"/>
        </w:rPr>
        <w:t>температуры наружного воздуха, согласно температурному графику</w:t>
      </w:r>
      <w:r w:rsidR="009E1DDE" w:rsidRPr="00644297">
        <w:rPr>
          <w:szCs w:val="24"/>
        </w:rPr>
        <w:t xml:space="preserve"> (Приложение №1) и с учетом п.</w:t>
      </w:r>
      <w:r w:rsidR="0022274C" w:rsidRPr="00644297">
        <w:rPr>
          <w:szCs w:val="24"/>
        </w:rPr>
        <w:t>1.3.</w:t>
      </w:r>
      <w:r w:rsidR="00493284" w:rsidRPr="00644297">
        <w:rPr>
          <w:szCs w:val="24"/>
        </w:rPr>
        <w:t xml:space="preserve"> настоящего договора</w:t>
      </w:r>
      <w:r w:rsidR="002D4A27" w:rsidRPr="00644297">
        <w:rPr>
          <w:rFonts w:eastAsia="Times New Roman"/>
          <w:szCs w:val="24"/>
          <w:lang w:eastAsia="ru-RU"/>
        </w:rPr>
        <w:t>;</w:t>
      </w:r>
    </w:p>
    <w:p w:rsidR="00873599" w:rsidRPr="00493284" w:rsidRDefault="006259A3" w:rsidP="006259A3">
      <w:pPr>
        <w:jc w:val="both"/>
        <w:rPr>
          <w:szCs w:val="24"/>
        </w:rPr>
      </w:pPr>
      <w:r w:rsidRPr="00644297">
        <w:rPr>
          <w:rFonts w:eastAsia="Times New Roman"/>
          <w:szCs w:val="24"/>
          <w:lang w:eastAsia="ru-RU"/>
        </w:rPr>
        <w:t>2.1.</w:t>
      </w:r>
      <w:r w:rsidR="00434A18" w:rsidRPr="00644297">
        <w:rPr>
          <w:rFonts w:eastAsia="Times New Roman"/>
          <w:szCs w:val="24"/>
          <w:lang w:eastAsia="ru-RU"/>
        </w:rPr>
        <w:t>2</w:t>
      </w:r>
      <w:r w:rsidRPr="00644297">
        <w:rPr>
          <w:rFonts w:eastAsia="Times New Roman"/>
          <w:szCs w:val="24"/>
          <w:lang w:eastAsia="ru-RU"/>
        </w:rPr>
        <w:t xml:space="preserve">. </w:t>
      </w:r>
      <w:r w:rsidR="00873599" w:rsidRPr="00644297">
        <w:rPr>
          <w:szCs w:val="24"/>
        </w:rPr>
        <w:t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</w:t>
      </w:r>
      <w:r w:rsidR="00644297" w:rsidRPr="00644297">
        <w:rPr>
          <w:szCs w:val="24"/>
        </w:rPr>
        <w:t>ются внутренние стены котельной.</w:t>
      </w:r>
      <w:r w:rsidR="00873599" w:rsidRPr="00644297">
        <w:rPr>
          <w:szCs w:val="24"/>
        </w:rPr>
        <w:t xml:space="preserve">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</w:t>
      </w:r>
      <w:r w:rsidR="00B27517" w:rsidRPr="00644297">
        <w:rPr>
          <w:szCs w:val="24"/>
        </w:rPr>
        <w:t xml:space="preserve">. Ответственность за соблюдение </w:t>
      </w:r>
      <w:r w:rsidR="001D2364" w:rsidRPr="00644297">
        <w:rPr>
          <w:szCs w:val="24"/>
        </w:rPr>
        <w:t>указанного температурного графика в Приложении №1а несет Управляющая компания</w:t>
      </w:r>
      <w:r w:rsidR="00873599" w:rsidRPr="00644297">
        <w:rPr>
          <w:szCs w:val="24"/>
        </w:rPr>
        <w:t>;</w:t>
      </w:r>
    </w:p>
    <w:p w:rsidR="006259A3" w:rsidRPr="00493284" w:rsidRDefault="002D4A27" w:rsidP="006259A3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 xml:space="preserve">2.1.3. </w:t>
      </w:r>
      <w:r w:rsidR="006259A3" w:rsidRPr="00493284">
        <w:rPr>
          <w:rFonts w:eastAsia="Times New Roman"/>
          <w:szCs w:val="24"/>
          <w:lang w:eastAsia="ru-RU"/>
        </w:rPr>
        <w:t xml:space="preserve">самостоятельно производить </w:t>
      </w:r>
      <w:r w:rsidR="00873599" w:rsidRPr="00493284">
        <w:rPr>
          <w:rFonts w:eastAsia="Times New Roman"/>
          <w:szCs w:val="24"/>
          <w:lang w:eastAsia="ru-RU"/>
        </w:rPr>
        <w:t>тепловую энергию</w:t>
      </w:r>
      <w:r w:rsidR="006259A3" w:rsidRPr="00493284">
        <w:rPr>
          <w:rFonts w:eastAsia="Times New Roman"/>
          <w:szCs w:val="24"/>
          <w:lang w:eastAsia="ru-RU"/>
        </w:rPr>
        <w:t>;</w:t>
      </w:r>
    </w:p>
    <w:p w:rsidR="006259A3" w:rsidRPr="00493284" w:rsidRDefault="006259A3" w:rsidP="006259A3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2.1.</w:t>
      </w:r>
      <w:r w:rsidR="00434A18" w:rsidRPr="00493284">
        <w:rPr>
          <w:rFonts w:eastAsia="Times New Roman"/>
          <w:szCs w:val="24"/>
          <w:lang w:eastAsia="ru-RU"/>
        </w:rPr>
        <w:t>3</w:t>
      </w:r>
      <w:r w:rsidRPr="00493284">
        <w:rPr>
          <w:rFonts w:eastAsia="Times New Roman"/>
          <w:szCs w:val="24"/>
          <w:lang w:eastAsia="ru-RU"/>
        </w:rPr>
        <w:t xml:space="preserve">. взимать плату за </w:t>
      </w:r>
      <w:r w:rsidR="009E1DDE" w:rsidRPr="00493284">
        <w:rPr>
          <w:rFonts w:eastAsia="Times New Roman"/>
          <w:szCs w:val="24"/>
          <w:lang w:eastAsia="ru-RU"/>
        </w:rPr>
        <w:t>тепловую энергию</w:t>
      </w:r>
      <w:r w:rsidRPr="00493284">
        <w:rPr>
          <w:rFonts w:eastAsia="Times New Roman"/>
          <w:szCs w:val="24"/>
          <w:lang w:eastAsia="ru-RU"/>
        </w:rPr>
        <w:t xml:space="preserve"> </w:t>
      </w:r>
      <w:proofErr w:type="gramStart"/>
      <w:r w:rsidRPr="00493284">
        <w:rPr>
          <w:rFonts w:eastAsia="Times New Roman"/>
          <w:szCs w:val="24"/>
          <w:lang w:eastAsia="ru-RU"/>
        </w:rPr>
        <w:t>согласно</w:t>
      </w:r>
      <w:proofErr w:type="gramEnd"/>
      <w:r w:rsidRPr="00493284">
        <w:rPr>
          <w:rFonts w:eastAsia="Times New Roman"/>
          <w:szCs w:val="24"/>
          <w:lang w:eastAsia="ru-RU"/>
        </w:rPr>
        <w:t xml:space="preserve"> настоящего договора</w:t>
      </w:r>
      <w:r w:rsidR="00644297">
        <w:rPr>
          <w:rFonts w:eastAsia="Times New Roman"/>
          <w:szCs w:val="24"/>
          <w:lang w:eastAsia="ru-RU"/>
        </w:rPr>
        <w:t xml:space="preserve"> по установленному тарифу</w:t>
      </w:r>
      <w:r w:rsidRPr="00493284">
        <w:rPr>
          <w:rFonts w:eastAsia="Times New Roman"/>
          <w:szCs w:val="24"/>
          <w:lang w:eastAsia="ru-RU"/>
        </w:rPr>
        <w:t>;</w:t>
      </w:r>
    </w:p>
    <w:p w:rsidR="006259A3" w:rsidRPr="00493284" w:rsidRDefault="006259A3" w:rsidP="006259A3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2.1.</w:t>
      </w:r>
      <w:r w:rsidR="00434A18" w:rsidRPr="00493284">
        <w:rPr>
          <w:rFonts w:eastAsia="Times New Roman"/>
          <w:szCs w:val="24"/>
          <w:lang w:eastAsia="ru-RU"/>
        </w:rPr>
        <w:t>4</w:t>
      </w:r>
      <w:r w:rsidRPr="00493284">
        <w:rPr>
          <w:rFonts w:eastAsia="Times New Roman"/>
          <w:szCs w:val="24"/>
          <w:lang w:eastAsia="ru-RU"/>
        </w:rPr>
        <w:t>. уведомлять Потребителя о начале и сроках перерывов в подаче тепловой энергии, или уменьшения отпуска тепловой энергии:</w:t>
      </w:r>
    </w:p>
    <w:p w:rsidR="006259A3" w:rsidRPr="00493284" w:rsidRDefault="006259A3" w:rsidP="006259A3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а)</w:t>
      </w:r>
      <w:r w:rsidR="00873599" w:rsidRPr="00493284">
        <w:rPr>
          <w:rFonts w:eastAsia="Times New Roman"/>
          <w:szCs w:val="24"/>
          <w:lang w:eastAsia="ru-RU"/>
        </w:rPr>
        <w:t xml:space="preserve"> </w:t>
      </w:r>
      <w:r w:rsidRPr="00493284">
        <w:rPr>
          <w:rFonts w:eastAsia="Times New Roman"/>
          <w:szCs w:val="24"/>
          <w:lang w:eastAsia="ru-RU"/>
        </w:rPr>
        <w:t>не менее чем за 3 дня при производстве плановых ремонтов;</w:t>
      </w:r>
    </w:p>
    <w:p w:rsidR="006259A3" w:rsidRPr="00493284" w:rsidRDefault="006259A3" w:rsidP="006259A3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6259A3" w:rsidRPr="00644297" w:rsidRDefault="006259A3" w:rsidP="006259A3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2.1.</w:t>
      </w:r>
      <w:r w:rsidR="00434A18" w:rsidRPr="00493284">
        <w:rPr>
          <w:rFonts w:eastAsia="Times New Roman"/>
          <w:szCs w:val="24"/>
          <w:lang w:eastAsia="ru-RU"/>
        </w:rPr>
        <w:t>5</w:t>
      </w:r>
      <w:r w:rsidRPr="00493284">
        <w:rPr>
          <w:rFonts w:eastAsia="Times New Roman"/>
          <w:szCs w:val="24"/>
          <w:lang w:eastAsia="ru-RU"/>
        </w:rPr>
        <w:t xml:space="preserve">. по требованию Потребителя направлять своего представителя для выяснения причин не предоставления или предоставления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</w:t>
      </w:r>
      <w:r w:rsidRPr="00644297">
        <w:rPr>
          <w:rFonts w:eastAsia="Times New Roman"/>
          <w:szCs w:val="24"/>
          <w:lang w:eastAsia="ru-RU"/>
        </w:rPr>
        <w:t>связи с авариями, стихийными бедствиями, отсутствием или некачественным п</w:t>
      </w:r>
      <w:r w:rsidR="00D82827" w:rsidRPr="00644297">
        <w:rPr>
          <w:rFonts w:eastAsia="Times New Roman"/>
          <w:szCs w:val="24"/>
          <w:lang w:eastAsia="ru-RU"/>
        </w:rPr>
        <w:t xml:space="preserve">редоставлением </w:t>
      </w:r>
      <w:r w:rsidR="00644297" w:rsidRPr="00644297">
        <w:rPr>
          <w:rFonts w:eastAsia="Times New Roman"/>
          <w:szCs w:val="24"/>
          <w:lang w:eastAsia="ru-RU"/>
        </w:rPr>
        <w:t xml:space="preserve">услуг по поставке </w:t>
      </w:r>
      <w:r w:rsidR="00D82827" w:rsidRPr="00644297">
        <w:rPr>
          <w:rFonts w:eastAsia="Times New Roman"/>
          <w:szCs w:val="24"/>
          <w:lang w:eastAsia="ru-RU"/>
        </w:rPr>
        <w:t>тепловой энергии.</w:t>
      </w:r>
      <w:r w:rsidR="00873599" w:rsidRPr="00644297">
        <w:rPr>
          <w:rFonts w:eastAsia="Times New Roman"/>
          <w:szCs w:val="24"/>
          <w:lang w:eastAsia="ru-RU"/>
        </w:rPr>
        <w:t xml:space="preserve"> Потребитель имеет право обратиться по вопросам непредставления или предоставления </w:t>
      </w:r>
      <w:r w:rsidR="00644297" w:rsidRPr="00644297">
        <w:rPr>
          <w:rFonts w:eastAsia="Times New Roman"/>
          <w:szCs w:val="24"/>
          <w:lang w:eastAsia="ru-RU"/>
        </w:rPr>
        <w:t>услуг по поставке тепловой энергии ненадлежащего качества</w:t>
      </w:r>
      <w:r w:rsidR="00873599" w:rsidRPr="00644297">
        <w:rPr>
          <w:rFonts w:eastAsia="Times New Roman"/>
          <w:szCs w:val="24"/>
          <w:lang w:eastAsia="ru-RU"/>
        </w:rPr>
        <w:t xml:space="preserve"> как непосредственно в Теплоснабжающую организацию, так и в Управляющую компанию.</w:t>
      </w:r>
    </w:p>
    <w:p w:rsidR="002C3C20" w:rsidRPr="00493284" w:rsidRDefault="002C3C20" w:rsidP="006259A3">
      <w:pPr>
        <w:jc w:val="both"/>
        <w:rPr>
          <w:rFonts w:eastAsia="Times New Roman"/>
          <w:szCs w:val="24"/>
          <w:lang w:eastAsia="ru-RU"/>
        </w:rPr>
      </w:pPr>
      <w:r w:rsidRPr="00644297">
        <w:rPr>
          <w:rFonts w:eastAsia="Times New Roman"/>
          <w:szCs w:val="24"/>
          <w:lang w:eastAsia="ru-RU"/>
        </w:rPr>
        <w:t xml:space="preserve">2.1.6. уведомлять Потребителя о </w:t>
      </w:r>
      <w:r w:rsidR="00493284" w:rsidRPr="00644297">
        <w:rPr>
          <w:rFonts w:eastAsia="Times New Roman"/>
          <w:szCs w:val="24"/>
          <w:lang w:eastAsia="ru-RU"/>
        </w:rPr>
        <w:t>существовании</w:t>
      </w:r>
      <w:r w:rsidRPr="00644297">
        <w:rPr>
          <w:rFonts w:eastAsia="Times New Roman"/>
          <w:szCs w:val="24"/>
          <w:lang w:eastAsia="ru-RU"/>
        </w:rPr>
        <w:t xml:space="preserve"> у него задолженности по оплате </w:t>
      </w:r>
      <w:r w:rsidR="00644297">
        <w:rPr>
          <w:rFonts w:eastAsia="Times New Roman"/>
          <w:szCs w:val="24"/>
          <w:lang w:eastAsia="ru-RU"/>
        </w:rPr>
        <w:t>тепловой энергии</w:t>
      </w:r>
      <w:r w:rsidRPr="00644297">
        <w:rPr>
          <w:rFonts w:eastAsia="Times New Roman"/>
          <w:szCs w:val="24"/>
          <w:lang w:eastAsia="ru-RU"/>
        </w:rPr>
        <w:t xml:space="preserve"> любыми доступными способами</w:t>
      </w:r>
      <w:r w:rsidR="00493284" w:rsidRPr="00644297">
        <w:rPr>
          <w:rFonts w:eastAsia="Times New Roman"/>
          <w:szCs w:val="24"/>
          <w:lang w:eastAsia="ru-RU"/>
        </w:rPr>
        <w:t>.</w:t>
      </w:r>
    </w:p>
    <w:p w:rsidR="006259A3" w:rsidRPr="00493284" w:rsidRDefault="006259A3" w:rsidP="006259A3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b/>
          <w:bCs/>
          <w:szCs w:val="24"/>
          <w:u w:val="single"/>
          <w:lang w:eastAsia="ru-RU"/>
        </w:rPr>
        <w:t>2.2. Потребитель обязан</w:t>
      </w:r>
      <w:r w:rsidRPr="00493284">
        <w:rPr>
          <w:rFonts w:eastAsia="Times New Roman"/>
          <w:szCs w:val="24"/>
          <w:u w:val="single"/>
          <w:lang w:eastAsia="ru-RU"/>
        </w:rPr>
        <w:t>:</w:t>
      </w:r>
    </w:p>
    <w:p w:rsidR="006259A3" w:rsidRPr="00493284" w:rsidRDefault="006259A3" w:rsidP="006259A3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 xml:space="preserve">2.2.1. немедленно сообщать Исполнителю об авариях, пожарах, неисправностях оборудования, и об иных нарушениях, возникающих при использовании </w:t>
      </w:r>
      <w:r w:rsidR="00644297">
        <w:rPr>
          <w:rFonts w:eastAsia="Times New Roman"/>
          <w:szCs w:val="24"/>
          <w:lang w:eastAsia="ru-RU"/>
        </w:rPr>
        <w:t>тепловой энергии</w:t>
      </w:r>
      <w:r w:rsidRPr="00493284">
        <w:rPr>
          <w:rFonts w:eastAsia="Times New Roman"/>
          <w:szCs w:val="24"/>
          <w:lang w:eastAsia="ru-RU"/>
        </w:rPr>
        <w:t>, а при наличии возможности - принимать все возможные меры по их устранению;</w:t>
      </w:r>
    </w:p>
    <w:p w:rsidR="006259A3" w:rsidRPr="00493284" w:rsidRDefault="006259A3" w:rsidP="006259A3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2.2.2. использовать приборы учета, внесенные в государственный реестр средств измерений;</w:t>
      </w:r>
    </w:p>
    <w:p w:rsidR="006259A3" w:rsidRPr="00493284" w:rsidRDefault="006259A3" w:rsidP="006259A3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 xml:space="preserve">2.2.3. обеспечить сохранность пломб на приборах учета и распределителях, установленных в </w:t>
      </w:r>
      <w:r w:rsidR="00A245AE">
        <w:rPr>
          <w:rFonts w:eastAsia="Times New Roman"/>
          <w:szCs w:val="24"/>
          <w:lang w:eastAsia="ru-RU"/>
        </w:rPr>
        <w:t>помещении</w:t>
      </w:r>
      <w:r w:rsidRPr="00493284">
        <w:rPr>
          <w:rFonts w:eastAsia="Times New Roman"/>
          <w:szCs w:val="24"/>
          <w:lang w:eastAsia="ru-RU"/>
        </w:rPr>
        <w:t>;</w:t>
      </w:r>
    </w:p>
    <w:p w:rsidR="006259A3" w:rsidRPr="00493284" w:rsidRDefault="006259A3" w:rsidP="006259A3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2.2.4. своевременно и в полном объеме вносить плату за тепловую энергию;</w:t>
      </w:r>
    </w:p>
    <w:p w:rsidR="009E1DDE" w:rsidRPr="00A245AE" w:rsidRDefault="009E1DDE" w:rsidP="006259A3">
      <w:pPr>
        <w:jc w:val="both"/>
        <w:rPr>
          <w:rFonts w:eastAsia="Times New Roman"/>
          <w:szCs w:val="24"/>
          <w:lang w:eastAsia="ru-RU"/>
        </w:rPr>
      </w:pPr>
      <w:r w:rsidRPr="00A245AE">
        <w:rPr>
          <w:rFonts w:eastAsia="Times New Roman"/>
          <w:szCs w:val="24"/>
          <w:lang w:eastAsia="ru-RU"/>
        </w:rPr>
        <w:lastRenderedPageBreak/>
        <w:t xml:space="preserve">2.2.5. ежемесячно </w:t>
      </w:r>
      <w:r w:rsidR="001D2364" w:rsidRPr="00A245AE">
        <w:rPr>
          <w:rFonts w:eastAsia="Times New Roman"/>
          <w:szCs w:val="24"/>
          <w:lang w:eastAsia="ru-RU"/>
        </w:rPr>
        <w:t xml:space="preserve">с 25 по 30 число </w:t>
      </w:r>
      <w:r w:rsidRPr="00A245AE">
        <w:rPr>
          <w:rFonts w:eastAsia="Times New Roman"/>
          <w:szCs w:val="24"/>
          <w:lang w:eastAsia="ru-RU"/>
        </w:rPr>
        <w:t>сообщать показания приборов уче</w:t>
      </w:r>
      <w:r w:rsidR="002C3C20" w:rsidRPr="00A245AE">
        <w:rPr>
          <w:rFonts w:eastAsia="Times New Roman"/>
          <w:szCs w:val="24"/>
          <w:lang w:eastAsia="ru-RU"/>
        </w:rPr>
        <w:t>та любым установленным способом</w:t>
      </w:r>
      <w:r w:rsidR="003919D0" w:rsidRPr="00A245AE">
        <w:rPr>
          <w:rFonts w:eastAsia="Times New Roman"/>
          <w:szCs w:val="24"/>
          <w:lang w:eastAsia="ru-RU"/>
        </w:rPr>
        <w:t xml:space="preserve"> (способы передачи показаний приборов учета указаны на квитанциях, получаемых Потребителем)</w:t>
      </w:r>
      <w:r w:rsidR="002C3C20" w:rsidRPr="00A245AE">
        <w:rPr>
          <w:rFonts w:eastAsia="Times New Roman"/>
          <w:szCs w:val="24"/>
          <w:lang w:eastAsia="ru-RU"/>
        </w:rPr>
        <w:t>;</w:t>
      </w:r>
    </w:p>
    <w:p w:rsidR="002C3C20" w:rsidRPr="00A245AE" w:rsidRDefault="002C3C20" w:rsidP="006259A3">
      <w:pPr>
        <w:jc w:val="both"/>
        <w:rPr>
          <w:rFonts w:eastAsia="Times New Roman"/>
          <w:szCs w:val="24"/>
          <w:lang w:eastAsia="ru-RU"/>
        </w:rPr>
      </w:pPr>
      <w:r w:rsidRPr="00A245AE">
        <w:rPr>
          <w:rFonts w:eastAsia="Times New Roman"/>
          <w:szCs w:val="24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A245AE">
        <w:rPr>
          <w:rFonts w:eastAsia="Times New Roman"/>
          <w:szCs w:val="24"/>
          <w:lang w:eastAsia="ru-RU"/>
        </w:rPr>
        <w:t>предоставлять подтверждающие документы</w:t>
      </w:r>
      <w:proofErr w:type="gramEnd"/>
      <w:r w:rsidRPr="00A245AE">
        <w:rPr>
          <w:rFonts w:eastAsia="Times New Roman"/>
          <w:szCs w:val="24"/>
          <w:lang w:eastAsia="ru-RU"/>
        </w:rPr>
        <w:t>;</w:t>
      </w:r>
    </w:p>
    <w:p w:rsidR="002C3C20" w:rsidRPr="00493284" w:rsidRDefault="002C3C20" w:rsidP="006259A3">
      <w:pPr>
        <w:jc w:val="both"/>
        <w:rPr>
          <w:rFonts w:eastAsia="Times New Roman"/>
          <w:szCs w:val="24"/>
          <w:lang w:eastAsia="ru-RU"/>
        </w:rPr>
      </w:pPr>
      <w:r w:rsidRPr="00A245AE">
        <w:rPr>
          <w:rFonts w:eastAsia="Times New Roman"/>
          <w:szCs w:val="24"/>
          <w:lang w:eastAsia="ru-RU"/>
        </w:rPr>
        <w:t>2.2.7. требовать перерасчета стоимости полученного ресурса в случаях, предусмотренных законодательством РФ.</w:t>
      </w:r>
    </w:p>
    <w:p w:rsidR="006259A3" w:rsidRPr="00493284" w:rsidRDefault="006259A3" w:rsidP="006259A3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b/>
          <w:bCs/>
          <w:szCs w:val="24"/>
          <w:lang w:eastAsia="ru-RU"/>
        </w:rPr>
        <w:t>2</w:t>
      </w:r>
      <w:r w:rsidRPr="00493284">
        <w:rPr>
          <w:rFonts w:eastAsia="Times New Roman"/>
          <w:b/>
          <w:bCs/>
          <w:szCs w:val="24"/>
          <w:u w:val="single"/>
          <w:lang w:eastAsia="ru-RU"/>
        </w:rPr>
        <w:t>.3. Теплоснабжающая организация имеет право:</w:t>
      </w:r>
    </w:p>
    <w:p w:rsidR="006259A3" w:rsidRPr="00493284" w:rsidRDefault="006259A3" w:rsidP="006259A3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2.3.1. требовать внесения платы за потребленн</w:t>
      </w:r>
      <w:r w:rsidR="00493284">
        <w:rPr>
          <w:rFonts w:eastAsia="Times New Roman"/>
          <w:szCs w:val="24"/>
          <w:lang w:eastAsia="ru-RU"/>
        </w:rPr>
        <w:t>ую</w:t>
      </w:r>
      <w:r w:rsidRPr="00493284">
        <w:rPr>
          <w:rFonts w:eastAsia="Times New Roman"/>
          <w:szCs w:val="24"/>
          <w:lang w:eastAsia="ru-RU"/>
        </w:rPr>
        <w:t xml:space="preserve"> теплов</w:t>
      </w:r>
      <w:r w:rsidR="00493284">
        <w:rPr>
          <w:rFonts w:eastAsia="Times New Roman"/>
          <w:szCs w:val="24"/>
          <w:lang w:eastAsia="ru-RU"/>
        </w:rPr>
        <w:t>ую</w:t>
      </w:r>
      <w:r w:rsidRPr="00493284">
        <w:rPr>
          <w:rFonts w:eastAsia="Times New Roman"/>
          <w:szCs w:val="24"/>
          <w:lang w:eastAsia="ru-RU"/>
        </w:rPr>
        <w:t xml:space="preserve"> энерги</w:t>
      </w:r>
      <w:r w:rsidR="00493284">
        <w:rPr>
          <w:rFonts w:eastAsia="Times New Roman"/>
          <w:szCs w:val="24"/>
          <w:lang w:eastAsia="ru-RU"/>
        </w:rPr>
        <w:t>ю</w:t>
      </w:r>
      <w:r w:rsidRPr="00493284">
        <w:rPr>
          <w:rFonts w:eastAsia="Times New Roman"/>
          <w:szCs w:val="24"/>
          <w:lang w:eastAsia="ru-RU"/>
        </w:rPr>
        <w:t xml:space="preserve">, </w:t>
      </w:r>
      <w:proofErr w:type="gramStart"/>
      <w:r w:rsidRPr="00493284">
        <w:rPr>
          <w:rFonts w:eastAsia="Times New Roman"/>
          <w:szCs w:val="24"/>
          <w:lang w:eastAsia="ru-RU"/>
        </w:rPr>
        <w:t>согласно</w:t>
      </w:r>
      <w:proofErr w:type="gramEnd"/>
      <w:r w:rsidRPr="00493284">
        <w:rPr>
          <w:rFonts w:eastAsia="Times New Roman"/>
          <w:szCs w:val="24"/>
          <w:lang w:eastAsia="ru-RU"/>
        </w:rPr>
        <w:t xml:space="preserve"> настоящего д</w:t>
      </w:r>
      <w:r w:rsidR="00493284">
        <w:rPr>
          <w:rFonts w:eastAsia="Times New Roman"/>
          <w:szCs w:val="24"/>
          <w:lang w:eastAsia="ru-RU"/>
        </w:rPr>
        <w:t>оговора</w:t>
      </w:r>
      <w:r w:rsidRPr="00493284">
        <w:rPr>
          <w:rFonts w:eastAsia="Times New Roman"/>
          <w:szCs w:val="24"/>
          <w:lang w:eastAsia="ru-RU"/>
        </w:rPr>
        <w:t>;</w:t>
      </w:r>
    </w:p>
    <w:p w:rsidR="006259A3" w:rsidRPr="00493284" w:rsidRDefault="006259A3" w:rsidP="006259A3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 xml:space="preserve">2.3.2. требовать допуска в занимаемое </w:t>
      </w:r>
      <w:r w:rsidR="00493284">
        <w:rPr>
          <w:rFonts w:eastAsia="Times New Roman"/>
          <w:szCs w:val="24"/>
          <w:lang w:eastAsia="ru-RU"/>
        </w:rPr>
        <w:t xml:space="preserve">Потребителем </w:t>
      </w:r>
      <w:r w:rsidRPr="00493284">
        <w:rPr>
          <w:rFonts w:eastAsia="Times New Roman"/>
          <w:szCs w:val="24"/>
          <w:lang w:eastAsia="ru-RU"/>
        </w:rPr>
        <w:t xml:space="preserve">помещение уполномоченных представителей </w:t>
      </w:r>
      <w:r w:rsidR="002C3C20" w:rsidRPr="00493284">
        <w:rPr>
          <w:rFonts w:eastAsia="Times New Roman"/>
          <w:szCs w:val="24"/>
          <w:lang w:eastAsia="ru-RU"/>
        </w:rPr>
        <w:t xml:space="preserve">Теплоснабжающей организации </w:t>
      </w:r>
      <w:r w:rsidR="00A245AE">
        <w:rPr>
          <w:rFonts w:eastAsia="Times New Roman"/>
          <w:szCs w:val="24"/>
          <w:lang w:eastAsia="ru-RU"/>
        </w:rPr>
        <w:t xml:space="preserve">совместно с представителями Управляющей </w:t>
      </w:r>
      <w:r w:rsidR="00A245AE" w:rsidRPr="00A245AE">
        <w:rPr>
          <w:rFonts w:eastAsia="Times New Roman"/>
          <w:szCs w:val="24"/>
          <w:lang w:eastAsia="ru-RU"/>
        </w:rPr>
        <w:t xml:space="preserve">компании </w:t>
      </w:r>
      <w:r w:rsidRPr="00A245AE">
        <w:rPr>
          <w:rFonts w:eastAsia="Times New Roman"/>
          <w:szCs w:val="24"/>
          <w:lang w:eastAsia="ru-RU"/>
        </w:rPr>
        <w:t xml:space="preserve">для осмотра технического </w:t>
      </w:r>
      <w:r w:rsidR="002C3C20" w:rsidRPr="00A245AE">
        <w:rPr>
          <w:rFonts w:eastAsia="Times New Roman"/>
          <w:szCs w:val="24"/>
          <w:lang w:eastAsia="ru-RU"/>
        </w:rPr>
        <w:t xml:space="preserve">состояния приборов учета, а также </w:t>
      </w:r>
      <w:r w:rsidR="009E1DDE" w:rsidRPr="00A245AE">
        <w:rPr>
          <w:rFonts w:eastAsia="Times New Roman"/>
          <w:szCs w:val="24"/>
          <w:lang w:eastAsia="ru-RU"/>
        </w:rPr>
        <w:t>контрольного снятия показаний приборов учета</w:t>
      </w:r>
      <w:r w:rsidR="001D2364" w:rsidRPr="00A245AE">
        <w:rPr>
          <w:rFonts w:eastAsia="Times New Roman"/>
          <w:szCs w:val="24"/>
          <w:lang w:eastAsia="ru-RU"/>
        </w:rPr>
        <w:t xml:space="preserve"> не чаще, чем один раз в 6 месяцев</w:t>
      </w:r>
      <w:r w:rsidR="001477EC" w:rsidRPr="00A245AE">
        <w:rPr>
          <w:rFonts w:eastAsia="Times New Roman"/>
          <w:szCs w:val="24"/>
          <w:lang w:eastAsia="ru-RU"/>
        </w:rPr>
        <w:t>.</w:t>
      </w:r>
      <w:r w:rsidR="00493284" w:rsidRPr="00A245AE">
        <w:rPr>
          <w:rFonts w:eastAsia="Times New Roman"/>
          <w:szCs w:val="24"/>
          <w:lang w:eastAsia="ru-RU"/>
        </w:rPr>
        <w:t xml:space="preserve"> Уведомление о проведении мероприятий по проверке приборов учета размещается заблаговременно.</w:t>
      </w:r>
    </w:p>
    <w:p w:rsidR="006259A3" w:rsidRPr="00493284" w:rsidRDefault="006259A3" w:rsidP="001477EC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b/>
          <w:bCs/>
          <w:szCs w:val="24"/>
          <w:lang w:eastAsia="ru-RU"/>
        </w:rPr>
        <w:t>2</w:t>
      </w:r>
      <w:r w:rsidRPr="00493284">
        <w:rPr>
          <w:rFonts w:eastAsia="Times New Roman"/>
          <w:b/>
          <w:bCs/>
          <w:szCs w:val="24"/>
          <w:u w:val="single"/>
          <w:lang w:eastAsia="ru-RU"/>
        </w:rPr>
        <w:t>.4. Потребитель имеет право:</w:t>
      </w:r>
    </w:p>
    <w:p w:rsidR="006259A3" w:rsidRPr="00493284" w:rsidRDefault="006259A3" w:rsidP="001477EC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2.4.1. получать в необходимых объемах тепловую энергию</w:t>
      </w:r>
      <w:r w:rsidR="001D2364" w:rsidRPr="00493284">
        <w:rPr>
          <w:rFonts w:eastAsia="Times New Roman"/>
          <w:szCs w:val="24"/>
          <w:lang w:eastAsia="ru-RU"/>
        </w:rPr>
        <w:t xml:space="preserve"> надлежащего качества</w:t>
      </w:r>
      <w:r w:rsidR="002C3C20" w:rsidRPr="00493284">
        <w:rPr>
          <w:rFonts w:eastAsia="Times New Roman"/>
          <w:szCs w:val="24"/>
          <w:lang w:eastAsia="ru-RU"/>
        </w:rPr>
        <w:t xml:space="preserve"> с учетом положений п.2.1.2. настоящего договора</w:t>
      </w:r>
      <w:r w:rsidRPr="00493284">
        <w:rPr>
          <w:rFonts w:eastAsia="Times New Roman"/>
          <w:szCs w:val="24"/>
          <w:lang w:eastAsia="ru-RU"/>
        </w:rPr>
        <w:t>;</w:t>
      </w:r>
    </w:p>
    <w:p w:rsidR="006259A3" w:rsidRPr="00493284" w:rsidRDefault="006259A3" w:rsidP="001477EC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6259A3" w:rsidRPr="00493284" w:rsidRDefault="001D2364" w:rsidP="001477EC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 xml:space="preserve">2.4.3. получать от Теплоснабжающей организации </w:t>
      </w:r>
      <w:r w:rsidR="006259A3" w:rsidRPr="00493284">
        <w:rPr>
          <w:rFonts w:eastAsia="Times New Roman"/>
          <w:szCs w:val="24"/>
          <w:lang w:eastAsia="ru-RU"/>
        </w:rPr>
        <w:t xml:space="preserve">информацию об объемах и качестве тепловой энергии, условиях </w:t>
      </w:r>
      <w:r w:rsidRPr="00493284">
        <w:rPr>
          <w:rFonts w:eastAsia="Times New Roman"/>
          <w:szCs w:val="24"/>
          <w:lang w:eastAsia="ru-RU"/>
        </w:rPr>
        <w:t>ее</w:t>
      </w:r>
      <w:r w:rsidR="006259A3" w:rsidRPr="00493284">
        <w:rPr>
          <w:rFonts w:eastAsia="Times New Roman"/>
          <w:szCs w:val="24"/>
          <w:lang w:eastAsia="ru-RU"/>
        </w:rPr>
        <w:t xml:space="preserve"> предоставления, изменении размера платы за тепловую энергию и порядке </w:t>
      </w:r>
      <w:r w:rsidRPr="00493284">
        <w:rPr>
          <w:rFonts w:eastAsia="Times New Roman"/>
          <w:szCs w:val="24"/>
          <w:lang w:eastAsia="ru-RU"/>
        </w:rPr>
        <w:t>ее</w:t>
      </w:r>
      <w:r w:rsidR="009E1DDE" w:rsidRPr="00493284">
        <w:rPr>
          <w:rFonts w:eastAsia="Times New Roman"/>
          <w:szCs w:val="24"/>
          <w:lang w:eastAsia="ru-RU"/>
        </w:rPr>
        <w:t xml:space="preserve"> оплаты.</w:t>
      </w:r>
    </w:p>
    <w:p w:rsidR="006259A3" w:rsidRPr="00493284" w:rsidRDefault="006259A3" w:rsidP="001477EC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b/>
          <w:bCs/>
          <w:szCs w:val="24"/>
          <w:u w:val="single"/>
          <w:lang w:eastAsia="ru-RU"/>
        </w:rPr>
        <w:t>2.5. Потребителю запрещается:</w:t>
      </w:r>
    </w:p>
    <w:p w:rsidR="006259A3" w:rsidRPr="00493284" w:rsidRDefault="006259A3" w:rsidP="001477EC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 xml:space="preserve">2.5.1. производить слив теплоносителя из системы отопления без разрешения </w:t>
      </w:r>
      <w:r w:rsidR="001D2364" w:rsidRPr="00493284">
        <w:rPr>
          <w:rFonts w:eastAsia="Times New Roman"/>
          <w:szCs w:val="24"/>
          <w:lang w:eastAsia="ru-RU"/>
        </w:rPr>
        <w:t>Теплоснабжающей организации</w:t>
      </w:r>
      <w:r w:rsidRPr="00493284">
        <w:rPr>
          <w:rFonts w:eastAsia="Times New Roman"/>
          <w:szCs w:val="24"/>
          <w:lang w:eastAsia="ru-RU"/>
        </w:rPr>
        <w:t>;</w:t>
      </w:r>
    </w:p>
    <w:p w:rsidR="006259A3" w:rsidRPr="00493284" w:rsidRDefault="006259A3" w:rsidP="001477EC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2.5.2. самовольно присоединяться к системам теплоснабжения;</w:t>
      </w:r>
    </w:p>
    <w:p w:rsidR="006259A3" w:rsidRPr="00A245AE" w:rsidRDefault="006259A3" w:rsidP="001477EC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2.5.</w:t>
      </w:r>
      <w:r w:rsidR="001D2364" w:rsidRPr="00493284">
        <w:rPr>
          <w:rFonts w:eastAsia="Times New Roman"/>
          <w:szCs w:val="24"/>
          <w:lang w:eastAsia="ru-RU"/>
        </w:rPr>
        <w:t>3</w:t>
      </w:r>
      <w:r w:rsidRPr="00493284">
        <w:rPr>
          <w:rFonts w:eastAsia="Times New Roman"/>
          <w:szCs w:val="24"/>
          <w:lang w:eastAsia="ru-RU"/>
        </w:rPr>
        <w:t xml:space="preserve">. самовольно нарушать пломбы на приборах учета, демонтировать приборы учета и </w:t>
      </w:r>
      <w:r w:rsidRPr="00A245AE">
        <w:rPr>
          <w:rFonts w:eastAsia="Times New Roman"/>
          <w:szCs w:val="24"/>
          <w:lang w:eastAsia="ru-RU"/>
        </w:rPr>
        <w:t>осуществлять действия, направленные на искажение их показаний или повреждение.</w:t>
      </w:r>
    </w:p>
    <w:p w:rsidR="001D2364" w:rsidRDefault="00493284" w:rsidP="00493284">
      <w:pPr>
        <w:jc w:val="both"/>
        <w:rPr>
          <w:rFonts w:eastAsia="Times New Roman"/>
          <w:szCs w:val="24"/>
          <w:lang w:eastAsia="ru-RU"/>
        </w:rPr>
      </w:pPr>
      <w:r w:rsidRPr="00A245AE">
        <w:rPr>
          <w:rFonts w:eastAsia="Times New Roman"/>
          <w:szCs w:val="24"/>
          <w:lang w:eastAsia="ru-RU"/>
        </w:rPr>
        <w:t xml:space="preserve">2.5.4. препятствовать проверке состояния приборов учета, а также контрольному снятию показаний приборов учета, установленных в </w:t>
      </w:r>
      <w:r w:rsidR="00A245AE" w:rsidRPr="00A245AE">
        <w:rPr>
          <w:rFonts w:eastAsia="Times New Roman"/>
          <w:szCs w:val="24"/>
          <w:lang w:eastAsia="ru-RU"/>
        </w:rPr>
        <w:t>помещении</w:t>
      </w:r>
      <w:r w:rsidRPr="00A245AE">
        <w:rPr>
          <w:rFonts w:eastAsia="Times New Roman"/>
          <w:szCs w:val="24"/>
          <w:lang w:eastAsia="ru-RU"/>
        </w:rPr>
        <w:t xml:space="preserve"> Потребителя.</w:t>
      </w:r>
    </w:p>
    <w:p w:rsidR="00A245AE" w:rsidRPr="00493284" w:rsidRDefault="00A245AE" w:rsidP="00493284">
      <w:pPr>
        <w:jc w:val="both"/>
        <w:rPr>
          <w:rFonts w:eastAsia="Times New Roman"/>
          <w:b/>
          <w:bCs/>
          <w:szCs w:val="24"/>
          <w:lang w:eastAsia="ru-RU"/>
        </w:rPr>
      </w:pPr>
    </w:p>
    <w:p w:rsidR="006259A3" w:rsidRPr="00493284" w:rsidRDefault="006259A3" w:rsidP="006341A1">
      <w:pPr>
        <w:jc w:val="center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b/>
          <w:bCs/>
          <w:szCs w:val="24"/>
          <w:lang w:eastAsia="ru-RU"/>
        </w:rPr>
        <w:t>3. Цена договора и порядок расчетов</w:t>
      </w:r>
    </w:p>
    <w:p w:rsidR="006259A3" w:rsidRPr="00A245AE" w:rsidRDefault="006259A3" w:rsidP="006341A1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 xml:space="preserve">3.1. </w:t>
      </w:r>
      <w:r w:rsidRPr="00A245AE">
        <w:rPr>
          <w:rFonts w:eastAsia="Times New Roman"/>
          <w:szCs w:val="24"/>
          <w:lang w:eastAsia="ru-RU"/>
        </w:rPr>
        <w:t xml:space="preserve">Тариф на тепловую энергию </w:t>
      </w:r>
      <w:r w:rsidR="001D2364" w:rsidRPr="00A245AE">
        <w:rPr>
          <w:rFonts w:eastAsia="Times New Roman"/>
          <w:szCs w:val="24"/>
          <w:lang w:eastAsia="ru-RU"/>
        </w:rPr>
        <w:t xml:space="preserve">Теплоснабжающей организации </w:t>
      </w:r>
      <w:r w:rsidRPr="00A245AE">
        <w:rPr>
          <w:rFonts w:eastAsia="Times New Roman"/>
          <w:szCs w:val="24"/>
          <w:lang w:eastAsia="ru-RU"/>
        </w:rPr>
        <w:t>утверждается и изменяется в соответствии с действующим законодательством</w:t>
      </w:r>
      <w:r w:rsidR="001D2364" w:rsidRPr="00A245AE">
        <w:rPr>
          <w:rFonts w:eastAsia="Times New Roman"/>
          <w:szCs w:val="24"/>
          <w:lang w:eastAsia="ru-RU"/>
        </w:rPr>
        <w:t xml:space="preserve"> РФ</w:t>
      </w:r>
      <w:r w:rsidRPr="00A245AE">
        <w:rPr>
          <w:rFonts w:eastAsia="Times New Roman"/>
          <w:szCs w:val="24"/>
          <w:lang w:eastAsia="ru-RU"/>
        </w:rPr>
        <w:t xml:space="preserve">; изменение тарифа доводится до Потребителя через </w:t>
      </w:r>
      <w:hyperlink r:id="rId9" w:tooltip="Средства массовой информации" w:history="1">
        <w:r w:rsidRPr="00A245AE">
          <w:rPr>
            <w:rFonts w:eastAsia="Times New Roman"/>
            <w:szCs w:val="24"/>
            <w:lang w:eastAsia="ru-RU"/>
          </w:rPr>
          <w:t>средства массовой информации</w:t>
        </w:r>
      </w:hyperlink>
      <w:r w:rsidR="00493284" w:rsidRPr="00A245AE">
        <w:rPr>
          <w:szCs w:val="24"/>
        </w:rPr>
        <w:t xml:space="preserve"> (сайт </w:t>
      </w:r>
      <w:r w:rsidR="00493284" w:rsidRPr="00A245AE">
        <w:rPr>
          <w:rFonts w:eastAsia="Times New Roman"/>
          <w:szCs w:val="24"/>
          <w:lang w:eastAsia="ru-RU"/>
        </w:rPr>
        <w:t>Теплоснабжающей организации</w:t>
      </w:r>
      <w:r w:rsidR="00493284" w:rsidRPr="00A245AE">
        <w:rPr>
          <w:szCs w:val="24"/>
        </w:rPr>
        <w:t>)</w:t>
      </w:r>
      <w:r w:rsidRPr="00A245AE">
        <w:rPr>
          <w:rFonts w:eastAsia="Times New Roman"/>
          <w:szCs w:val="24"/>
          <w:lang w:eastAsia="ru-RU"/>
        </w:rPr>
        <w:t xml:space="preserve"> и не требует переоформления </w:t>
      </w:r>
      <w:r w:rsidR="00493284" w:rsidRPr="00A245AE">
        <w:rPr>
          <w:rFonts w:eastAsia="Times New Roman"/>
          <w:szCs w:val="24"/>
          <w:lang w:eastAsia="ru-RU"/>
        </w:rPr>
        <w:t>настоящего д</w:t>
      </w:r>
      <w:r w:rsidRPr="00A245AE">
        <w:rPr>
          <w:rFonts w:eastAsia="Times New Roman"/>
          <w:szCs w:val="24"/>
          <w:lang w:eastAsia="ru-RU"/>
        </w:rPr>
        <w:t>оговора.</w:t>
      </w:r>
    </w:p>
    <w:p w:rsidR="006259A3" w:rsidRPr="00A245AE" w:rsidRDefault="006259A3" w:rsidP="006341A1">
      <w:pPr>
        <w:jc w:val="both"/>
        <w:rPr>
          <w:rFonts w:eastAsia="Times New Roman"/>
          <w:szCs w:val="24"/>
          <w:lang w:eastAsia="ru-RU"/>
        </w:rPr>
      </w:pPr>
      <w:r w:rsidRPr="00A245AE">
        <w:rPr>
          <w:rFonts w:eastAsia="Times New Roman"/>
          <w:szCs w:val="24"/>
          <w:lang w:eastAsia="ru-RU"/>
        </w:rPr>
        <w:t>Расчеты за потребленную тепловую энергию</w:t>
      </w:r>
      <w:r w:rsidR="002D4A27" w:rsidRPr="00A245AE">
        <w:rPr>
          <w:rFonts w:eastAsia="Times New Roman"/>
          <w:szCs w:val="24"/>
          <w:lang w:eastAsia="ru-RU"/>
        </w:rPr>
        <w:t xml:space="preserve"> на отопление</w:t>
      </w:r>
      <w:r w:rsidRPr="00A245AE">
        <w:rPr>
          <w:rFonts w:eastAsia="Times New Roman"/>
          <w:szCs w:val="24"/>
          <w:lang w:eastAsia="ru-RU"/>
        </w:rPr>
        <w:t xml:space="preserve"> производятся согласно действующему тарифу, установленному </w:t>
      </w:r>
      <w:r w:rsidR="006341A1" w:rsidRPr="00A245AE">
        <w:rPr>
          <w:iCs/>
          <w:szCs w:val="24"/>
        </w:rPr>
        <w:t>Государственным комитетом Псковской области по тарифам и энергетике</w:t>
      </w:r>
      <w:r w:rsidRPr="00A245AE">
        <w:rPr>
          <w:rFonts w:eastAsia="Times New Roman"/>
          <w:szCs w:val="24"/>
          <w:lang w:eastAsia="ru-RU"/>
        </w:rPr>
        <w:t>.</w:t>
      </w:r>
    </w:p>
    <w:p w:rsidR="002D4A27" w:rsidRPr="00A245AE" w:rsidRDefault="00A245AE" w:rsidP="006341A1">
      <w:pPr>
        <w:jc w:val="both"/>
        <w:rPr>
          <w:rFonts w:eastAsia="Times New Roman"/>
          <w:szCs w:val="24"/>
          <w:lang w:eastAsia="ru-RU"/>
        </w:rPr>
      </w:pPr>
      <w:r w:rsidRPr="00A245AE">
        <w:rPr>
          <w:rFonts w:eastAsia="Times New Roman"/>
          <w:szCs w:val="24"/>
          <w:lang w:eastAsia="ru-RU"/>
        </w:rPr>
        <w:t xml:space="preserve">Стоимость потребленной тепловой энергии для целей </w:t>
      </w:r>
      <w:r w:rsidR="002D4A27" w:rsidRPr="00A245AE">
        <w:rPr>
          <w:rFonts w:eastAsia="Times New Roman"/>
          <w:szCs w:val="24"/>
          <w:lang w:eastAsia="ru-RU"/>
        </w:rPr>
        <w:t>подогрев</w:t>
      </w:r>
      <w:r w:rsidRPr="00A245AE">
        <w:rPr>
          <w:rFonts w:eastAsia="Times New Roman"/>
          <w:szCs w:val="24"/>
          <w:lang w:eastAsia="ru-RU"/>
        </w:rPr>
        <w:t>а</w:t>
      </w:r>
      <w:r w:rsidR="002D4A27" w:rsidRPr="00A245AE">
        <w:rPr>
          <w:rFonts w:eastAsia="Times New Roman"/>
          <w:szCs w:val="24"/>
          <w:lang w:eastAsia="ru-RU"/>
        </w:rPr>
        <w:t xml:space="preserve"> воды (горячее водоснабжение) состоит из тарифа на тепловую энергию и норматива на использование </w:t>
      </w:r>
      <w:r w:rsidRPr="00A245AE">
        <w:rPr>
          <w:rFonts w:eastAsia="Times New Roman"/>
          <w:szCs w:val="24"/>
          <w:lang w:eastAsia="ru-RU"/>
        </w:rPr>
        <w:t xml:space="preserve">тепловой </w:t>
      </w:r>
      <w:r w:rsidR="002D4A27" w:rsidRPr="00A245AE">
        <w:rPr>
          <w:szCs w:val="24"/>
        </w:rPr>
        <w:t xml:space="preserve">энергии на подогрев воды в целях предоставления услуги по горячему водоснабжению. Норматив </w:t>
      </w:r>
      <w:r w:rsidR="002D4A27" w:rsidRPr="00A245AE">
        <w:rPr>
          <w:rFonts w:eastAsia="Times New Roman"/>
          <w:szCs w:val="24"/>
          <w:lang w:eastAsia="ru-RU"/>
        </w:rPr>
        <w:t xml:space="preserve">на использование </w:t>
      </w:r>
      <w:r w:rsidRPr="00A245AE">
        <w:rPr>
          <w:rFonts w:eastAsia="Times New Roman"/>
          <w:szCs w:val="24"/>
          <w:lang w:eastAsia="ru-RU"/>
        </w:rPr>
        <w:t xml:space="preserve">тепловой </w:t>
      </w:r>
      <w:r w:rsidR="002D4A27" w:rsidRPr="00A245AE">
        <w:rPr>
          <w:szCs w:val="24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6259A3" w:rsidRPr="00A245AE" w:rsidRDefault="006259A3" w:rsidP="006341A1">
      <w:pPr>
        <w:jc w:val="both"/>
        <w:rPr>
          <w:rFonts w:eastAsia="Times New Roman"/>
          <w:szCs w:val="24"/>
          <w:lang w:eastAsia="ru-RU"/>
        </w:rPr>
      </w:pPr>
      <w:r w:rsidRPr="00A245AE">
        <w:rPr>
          <w:rFonts w:eastAsia="Times New Roman"/>
          <w:szCs w:val="24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6259A3" w:rsidRPr="00493284" w:rsidRDefault="006259A3" w:rsidP="006341A1">
      <w:pPr>
        <w:jc w:val="both"/>
        <w:rPr>
          <w:rFonts w:eastAsia="Times New Roman"/>
          <w:szCs w:val="24"/>
          <w:lang w:eastAsia="ru-RU"/>
        </w:rPr>
      </w:pPr>
      <w:r w:rsidRPr="00A245AE">
        <w:rPr>
          <w:rFonts w:eastAsia="Times New Roman"/>
          <w:szCs w:val="24"/>
          <w:lang w:eastAsia="ru-RU"/>
        </w:rPr>
        <w:t xml:space="preserve">3.3. Расчеты за тепловую энергию по </w:t>
      </w:r>
      <w:r w:rsidR="00493284" w:rsidRPr="00A245AE">
        <w:rPr>
          <w:rFonts w:eastAsia="Times New Roman"/>
          <w:szCs w:val="24"/>
          <w:lang w:eastAsia="ru-RU"/>
        </w:rPr>
        <w:t>настоящему д</w:t>
      </w:r>
      <w:r w:rsidRPr="00A245AE">
        <w:rPr>
          <w:rFonts w:eastAsia="Times New Roman"/>
          <w:szCs w:val="24"/>
          <w:lang w:eastAsia="ru-RU"/>
        </w:rPr>
        <w:t>оговору производятся Потребителем в адрес Теплоснабжающей организации в следующем порядке:</w:t>
      </w:r>
    </w:p>
    <w:p w:rsidR="009E1DDE" w:rsidRPr="00493284" w:rsidRDefault="009E1DDE" w:rsidP="006341A1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 xml:space="preserve">3.3.1. </w:t>
      </w:r>
      <w:r w:rsidR="00A245AE">
        <w:rPr>
          <w:rFonts w:eastAsia="Times New Roman"/>
          <w:szCs w:val="24"/>
          <w:lang w:eastAsia="ru-RU"/>
        </w:rPr>
        <w:t xml:space="preserve">тепловая энергия на </w:t>
      </w:r>
      <w:r w:rsidRPr="00493284">
        <w:rPr>
          <w:rFonts w:eastAsia="Times New Roman"/>
          <w:szCs w:val="24"/>
          <w:lang w:eastAsia="ru-RU"/>
        </w:rPr>
        <w:t>отоплени</w:t>
      </w:r>
      <w:r w:rsidR="00A245AE">
        <w:rPr>
          <w:rFonts w:eastAsia="Times New Roman"/>
          <w:szCs w:val="24"/>
          <w:lang w:eastAsia="ru-RU"/>
        </w:rPr>
        <w:t>е</w:t>
      </w:r>
      <w:r w:rsidRPr="00493284">
        <w:rPr>
          <w:rFonts w:eastAsia="Times New Roman"/>
          <w:szCs w:val="24"/>
          <w:lang w:eastAsia="ru-RU"/>
        </w:rPr>
        <w:t>:</w:t>
      </w:r>
    </w:p>
    <w:p w:rsidR="006259A3" w:rsidRDefault="006259A3" w:rsidP="006341A1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lastRenderedPageBreak/>
        <w:t xml:space="preserve">- на </w:t>
      </w:r>
      <w:r w:rsidRPr="00A245AE">
        <w:rPr>
          <w:rFonts w:eastAsia="Times New Roman"/>
          <w:szCs w:val="24"/>
          <w:lang w:eastAsia="ru-RU"/>
        </w:rPr>
        <w:t xml:space="preserve">основании данных по расходу тепловой энергии за расчетный период, </w:t>
      </w:r>
      <w:r w:rsidR="00BC2885" w:rsidRPr="00A245AE">
        <w:rPr>
          <w:rFonts w:eastAsia="Times New Roman"/>
          <w:szCs w:val="24"/>
          <w:lang w:eastAsia="ru-RU"/>
        </w:rPr>
        <w:t>предоставленных Управляющей компанией, определенных при помощи общедомовых приборов учета тепловой энергии</w:t>
      </w:r>
      <w:r w:rsidRPr="00A245AE">
        <w:rPr>
          <w:rFonts w:eastAsia="Times New Roman"/>
          <w:szCs w:val="24"/>
          <w:lang w:eastAsia="ru-RU"/>
        </w:rPr>
        <w:t>.</w:t>
      </w:r>
    </w:p>
    <w:p w:rsidR="009E1DDE" w:rsidRPr="00493284" w:rsidRDefault="009E1DDE" w:rsidP="006341A1">
      <w:pPr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  <w:r w:rsidRPr="00493284">
        <w:rPr>
          <w:rFonts w:eastAsia="Times New Roman"/>
          <w:szCs w:val="24"/>
          <w:lang w:eastAsia="ru-RU"/>
        </w:rPr>
        <w:t xml:space="preserve">3.3.2. </w:t>
      </w:r>
      <w:r w:rsidR="00A245AE">
        <w:rPr>
          <w:rFonts w:eastAsia="Times New Roman"/>
          <w:szCs w:val="24"/>
          <w:lang w:eastAsia="ru-RU"/>
        </w:rPr>
        <w:t>тепловая энергия на подогрев воды</w:t>
      </w:r>
      <w:r w:rsidRPr="00493284">
        <w:rPr>
          <w:rFonts w:eastAsia="Times New Roman"/>
          <w:szCs w:val="24"/>
          <w:lang w:eastAsia="ru-RU"/>
        </w:rPr>
        <w:t>:</w:t>
      </w:r>
    </w:p>
    <w:p w:rsidR="009E1DDE" w:rsidRPr="00A245AE" w:rsidRDefault="009E1DDE" w:rsidP="006341A1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 xml:space="preserve">- при условии передачи </w:t>
      </w:r>
      <w:r w:rsidRPr="00A245AE">
        <w:rPr>
          <w:rFonts w:eastAsia="Times New Roman"/>
          <w:szCs w:val="24"/>
          <w:lang w:eastAsia="ru-RU"/>
        </w:rPr>
        <w:t>показаний приборов учета – на основании данных, определенных при помощи установленных в помещении приборов учета горячей воды;</w:t>
      </w:r>
    </w:p>
    <w:p w:rsidR="009E1DDE" w:rsidRPr="00A245AE" w:rsidRDefault="009E1DDE" w:rsidP="006341A1">
      <w:pPr>
        <w:jc w:val="both"/>
        <w:rPr>
          <w:rFonts w:eastAsia="Times New Roman"/>
          <w:szCs w:val="24"/>
          <w:lang w:eastAsia="ru-RU"/>
        </w:rPr>
      </w:pPr>
      <w:r w:rsidRPr="00A245AE">
        <w:rPr>
          <w:rFonts w:eastAsia="Times New Roman"/>
          <w:szCs w:val="24"/>
          <w:lang w:eastAsia="ru-RU"/>
        </w:rPr>
        <w:t>- при отсутствии показаний приборов учета – по установленному нормативу потребления</w:t>
      </w:r>
      <w:r w:rsidR="002D4A27" w:rsidRPr="00A245AE">
        <w:rPr>
          <w:rFonts w:eastAsia="Times New Roman"/>
          <w:szCs w:val="24"/>
          <w:lang w:eastAsia="ru-RU"/>
        </w:rPr>
        <w:t xml:space="preserve"> исходя из количества прописанны</w:t>
      </w:r>
      <w:r w:rsidR="001D2364" w:rsidRPr="00A245AE">
        <w:rPr>
          <w:rFonts w:eastAsia="Times New Roman"/>
          <w:szCs w:val="24"/>
          <w:lang w:eastAsia="ru-RU"/>
        </w:rPr>
        <w:t>х</w:t>
      </w:r>
      <w:r w:rsidR="002D4A27" w:rsidRPr="00A245AE">
        <w:rPr>
          <w:rFonts w:eastAsia="Times New Roman"/>
          <w:szCs w:val="24"/>
          <w:lang w:eastAsia="ru-RU"/>
        </w:rPr>
        <w:t xml:space="preserve"> в квартире лиц</w:t>
      </w:r>
      <w:r w:rsidRPr="00A245AE">
        <w:rPr>
          <w:rFonts w:eastAsia="Times New Roman"/>
          <w:szCs w:val="24"/>
          <w:lang w:eastAsia="ru-RU"/>
        </w:rPr>
        <w:t>.</w:t>
      </w:r>
    </w:p>
    <w:p w:rsidR="006259A3" w:rsidRPr="00493284" w:rsidRDefault="006259A3" w:rsidP="006341A1">
      <w:pPr>
        <w:jc w:val="both"/>
        <w:rPr>
          <w:rFonts w:eastAsia="Times New Roman"/>
          <w:szCs w:val="24"/>
          <w:lang w:eastAsia="ru-RU"/>
        </w:rPr>
      </w:pPr>
      <w:r w:rsidRPr="00A245AE">
        <w:rPr>
          <w:rFonts w:eastAsia="Times New Roman"/>
          <w:szCs w:val="24"/>
          <w:lang w:eastAsia="ru-RU"/>
        </w:rPr>
        <w:t xml:space="preserve">3.4. Оплата по Договору производится Потребителем в адрес Теплоснабжающей организации не позднее </w:t>
      </w:r>
      <w:r w:rsidR="006341A1" w:rsidRPr="00A245AE">
        <w:rPr>
          <w:rFonts w:eastAsia="Times New Roman"/>
          <w:szCs w:val="24"/>
          <w:lang w:eastAsia="ru-RU"/>
        </w:rPr>
        <w:t>1</w:t>
      </w:r>
      <w:r w:rsidR="001D2364" w:rsidRPr="00A245AE">
        <w:rPr>
          <w:rFonts w:eastAsia="Times New Roman"/>
          <w:szCs w:val="24"/>
          <w:lang w:eastAsia="ru-RU"/>
        </w:rPr>
        <w:t>5</w:t>
      </w:r>
      <w:r w:rsidR="006341A1" w:rsidRPr="00A245AE">
        <w:rPr>
          <w:rFonts w:eastAsia="Times New Roman"/>
          <w:szCs w:val="24"/>
          <w:lang w:eastAsia="ru-RU"/>
        </w:rPr>
        <w:t xml:space="preserve"> (</w:t>
      </w:r>
      <w:r w:rsidR="001D2364" w:rsidRPr="00A245AE">
        <w:rPr>
          <w:rFonts w:eastAsia="Times New Roman"/>
          <w:szCs w:val="24"/>
          <w:lang w:eastAsia="ru-RU"/>
        </w:rPr>
        <w:t>пятнадцатого</w:t>
      </w:r>
      <w:r w:rsidR="006341A1" w:rsidRPr="00A245AE">
        <w:rPr>
          <w:rFonts w:eastAsia="Times New Roman"/>
          <w:szCs w:val="24"/>
          <w:lang w:eastAsia="ru-RU"/>
        </w:rPr>
        <w:t>)</w:t>
      </w:r>
      <w:r w:rsidRPr="00A245AE">
        <w:rPr>
          <w:rFonts w:eastAsia="Times New Roman"/>
          <w:szCs w:val="24"/>
          <w:lang w:eastAsia="ru-RU"/>
        </w:rPr>
        <w:t xml:space="preserve"> числа месяца, следующего за расчетным,</w:t>
      </w:r>
      <w:r w:rsidR="00493284" w:rsidRPr="00A245AE">
        <w:rPr>
          <w:rFonts w:eastAsia="Times New Roman"/>
          <w:szCs w:val="24"/>
          <w:lang w:eastAsia="ru-RU"/>
        </w:rPr>
        <w:t xml:space="preserve"> путем безналичного перечисления на расчетный счет Теплоснабжающей организации</w:t>
      </w:r>
      <w:r w:rsidR="006341A1" w:rsidRPr="00493284">
        <w:rPr>
          <w:rFonts w:eastAsia="Times New Roman"/>
          <w:szCs w:val="24"/>
          <w:lang w:eastAsia="ru-RU"/>
        </w:rPr>
        <w:t>.</w:t>
      </w:r>
    </w:p>
    <w:p w:rsidR="001D2364" w:rsidRPr="00493284" w:rsidRDefault="001D2364" w:rsidP="006341A1">
      <w:pPr>
        <w:jc w:val="center"/>
        <w:rPr>
          <w:rFonts w:eastAsia="Times New Roman"/>
          <w:b/>
          <w:bCs/>
          <w:szCs w:val="24"/>
          <w:lang w:eastAsia="ru-RU"/>
        </w:rPr>
      </w:pPr>
    </w:p>
    <w:p w:rsidR="006259A3" w:rsidRPr="00493284" w:rsidRDefault="006259A3" w:rsidP="006341A1">
      <w:pPr>
        <w:jc w:val="center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b/>
          <w:bCs/>
          <w:szCs w:val="24"/>
          <w:lang w:eastAsia="ru-RU"/>
        </w:rPr>
        <w:t>4. Срок договора</w:t>
      </w:r>
      <w:r w:rsidR="003919D0">
        <w:rPr>
          <w:rFonts w:eastAsia="Times New Roman"/>
          <w:b/>
          <w:bCs/>
          <w:szCs w:val="24"/>
          <w:lang w:eastAsia="ru-RU"/>
        </w:rPr>
        <w:t>.</w:t>
      </w:r>
    </w:p>
    <w:p w:rsidR="006259A3" w:rsidRPr="00493284" w:rsidRDefault="006259A3" w:rsidP="006341A1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 xml:space="preserve">4.1. Настоящий договор вступает в силу с </w:t>
      </w:r>
      <w:r w:rsidR="00A245AE">
        <w:rPr>
          <w:rFonts w:eastAsia="Times New Roman"/>
          <w:szCs w:val="24"/>
          <w:lang w:eastAsia="ru-RU"/>
        </w:rPr>
        <w:t>10</w:t>
      </w:r>
      <w:r w:rsidR="006341A1" w:rsidRPr="00493284">
        <w:rPr>
          <w:rFonts w:eastAsia="Times New Roman"/>
          <w:szCs w:val="24"/>
          <w:lang w:eastAsia="ru-RU"/>
        </w:rPr>
        <w:t xml:space="preserve"> </w:t>
      </w:r>
      <w:r w:rsidR="00A245AE">
        <w:rPr>
          <w:rFonts w:eastAsia="Times New Roman"/>
          <w:szCs w:val="24"/>
          <w:lang w:eastAsia="ru-RU"/>
        </w:rPr>
        <w:t>ноября</w:t>
      </w:r>
      <w:r w:rsidR="006341A1" w:rsidRPr="00493284">
        <w:rPr>
          <w:rFonts w:eastAsia="Times New Roman"/>
          <w:szCs w:val="24"/>
          <w:lang w:eastAsia="ru-RU"/>
        </w:rPr>
        <w:t xml:space="preserve"> 202</w:t>
      </w:r>
      <w:r w:rsidR="00A245AE">
        <w:rPr>
          <w:rFonts w:eastAsia="Times New Roman"/>
          <w:szCs w:val="24"/>
          <w:lang w:eastAsia="ru-RU"/>
        </w:rPr>
        <w:t>3</w:t>
      </w:r>
      <w:r w:rsidR="006341A1" w:rsidRPr="00493284">
        <w:rPr>
          <w:rFonts w:eastAsia="Times New Roman"/>
          <w:szCs w:val="24"/>
          <w:lang w:eastAsia="ru-RU"/>
        </w:rPr>
        <w:t xml:space="preserve"> года</w:t>
      </w:r>
      <w:r w:rsidRPr="00493284">
        <w:rPr>
          <w:rFonts w:eastAsia="Times New Roman"/>
          <w:szCs w:val="24"/>
          <w:lang w:eastAsia="ru-RU"/>
        </w:rPr>
        <w:t>. Договор считается заключенным на неопределенный срок.</w:t>
      </w:r>
    </w:p>
    <w:p w:rsidR="006259A3" w:rsidRPr="00493284" w:rsidRDefault="006259A3" w:rsidP="006341A1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</w:t>
      </w:r>
      <w:r w:rsidR="003919D0">
        <w:rPr>
          <w:rFonts w:eastAsia="Times New Roman"/>
          <w:szCs w:val="24"/>
          <w:lang w:eastAsia="ru-RU"/>
        </w:rPr>
        <w:t xml:space="preserve"> РФ</w:t>
      </w:r>
      <w:r w:rsidRPr="00493284">
        <w:rPr>
          <w:rFonts w:eastAsia="Times New Roman"/>
          <w:szCs w:val="24"/>
          <w:lang w:eastAsia="ru-RU"/>
        </w:rPr>
        <w:t>.</w:t>
      </w:r>
    </w:p>
    <w:p w:rsidR="003919D0" w:rsidRDefault="003919D0" w:rsidP="006341A1">
      <w:pPr>
        <w:jc w:val="center"/>
        <w:rPr>
          <w:rFonts w:eastAsia="Times New Roman"/>
          <w:b/>
          <w:bCs/>
          <w:szCs w:val="24"/>
          <w:lang w:eastAsia="ru-RU"/>
        </w:rPr>
      </w:pPr>
    </w:p>
    <w:p w:rsidR="006259A3" w:rsidRPr="00493284" w:rsidRDefault="006259A3" w:rsidP="006341A1">
      <w:pPr>
        <w:jc w:val="center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b/>
          <w:bCs/>
          <w:szCs w:val="24"/>
          <w:lang w:eastAsia="ru-RU"/>
        </w:rPr>
        <w:t>5. Порядок разрешения споров</w:t>
      </w:r>
      <w:r w:rsidR="003919D0">
        <w:rPr>
          <w:rFonts w:eastAsia="Times New Roman"/>
          <w:b/>
          <w:bCs/>
          <w:szCs w:val="24"/>
          <w:lang w:eastAsia="ru-RU"/>
        </w:rPr>
        <w:t>.</w:t>
      </w:r>
    </w:p>
    <w:p w:rsidR="006259A3" w:rsidRPr="00493284" w:rsidRDefault="006259A3" w:rsidP="006341A1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5.1. В случае если у Сторон имеются друг к другу претензии, Сторона в письменном виде извещает об этом другую Сторону в течение 10 (</w:t>
      </w:r>
      <w:r w:rsidR="003919D0">
        <w:rPr>
          <w:rFonts w:eastAsia="Times New Roman"/>
          <w:szCs w:val="24"/>
          <w:lang w:eastAsia="ru-RU"/>
        </w:rPr>
        <w:t>д</w:t>
      </w:r>
      <w:r w:rsidRPr="00493284">
        <w:rPr>
          <w:rFonts w:eastAsia="Times New Roman"/>
          <w:szCs w:val="24"/>
          <w:lang w:eastAsia="ru-RU"/>
        </w:rPr>
        <w:t xml:space="preserve">есяти) рабочих дней </w:t>
      </w:r>
      <w:proofErr w:type="gramStart"/>
      <w:r w:rsidRPr="00493284">
        <w:rPr>
          <w:rFonts w:eastAsia="Times New Roman"/>
          <w:szCs w:val="24"/>
          <w:lang w:eastAsia="ru-RU"/>
        </w:rPr>
        <w:t>с даты обнаружения</w:t>
      </w:r>
      <w:proofErr w:type="gramEnd"/>
      <w:r w:rsidRPr="00493284">
        <w:rPr>
          <w:rFonts w:eastAsia="Times New Roman"/>
          <w:szCs w:val="24"/>
          <w:lang w:eastAsia="ru-RU"/>
        </w:rPr>
        <w:t xml:space="preserve"> нарушений.</w:t>
      </w:r>
    </w:p>
    <w:p w:rsidR="006259A3" w:rsidRPr="00493284" w:rsidRDefault="006259A3" w:rsidP="006341A1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6259A3" w:rsidRPr="00A245AE" w:rsidRDefault="006259A3" w:rsidP="006341A1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 xml:space="preserve">5.3. В случае не достижения взаимоприемлемого результата, споры разрешаются в судебном </w:t>
      </w:r>
      <w:r w:rsidRPr="00A245AE">
        <w:rPr>
          <w:rFonts w:eastAsia="Times New Roman"/>
          <w:szCs w:val="24"/>
          <w:lang w:eastAsia="ru-RU"/>
        </w:rPr>
        <w:t>порядке.</w:t>
      </w:r>
    </w:p>
    <w:p w:rsidR="002C3C20" w:rsidRPr="00493284" w:rsidRDefault="002C3C20" w:rsidP="006341A1">
      <w:pPr>
        <w:jc w:val="both"/>
        <w:rPr>
          <w:rFonts w:eastAsia="Times New Roman"/>
          <w:szCs w:val="24"/>
          <w:lang w:eastAsia="ru-RU"/>
        </w:rPr>
      </w:pPr>
      <w:r w:rsidRPr="00A245AE">
        <w:rPr>
          <w:rFonts w:eastAsia="Times New Roman"/>
          <w:szCs w:val="24"/>
          <w:lang w:eastAsia="ru-RU"/>
        </w:rPr>
        <w:t xml:space="preserve"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</w:t>
      </w:r>
      <w:r w:rsidR="00A245AE" w:rsidRPr="00A245AE">
        <w:rPr>
          <w:rFonts w:eastAsia="Times New Roman"/>
          <w:szCs w:val="24"/>
          <w:lang w:eastAsia="ru-RU"/>
        </w:rPr>
        <w:t>помещения</w:t>
      </w:r>
      <w:r w:rsidRPr="00A245AE">
        <w:rPr>
          <w:rFonts w:eastAsia="Times New Roman"/>
          <w:szCs w:val="24"/>
          <w:lang w:eastAsia="ru-RU"/>
        </w:rPr>
        <w:t xml:space="preserve">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</w:t>
      </w:r>
      <w:r w:rsidR="00A245AE" w:rsidRPr="00A245AE">
        <w:rPr>
          <w:rFonts w:eastAsia="Times New Roman"/>
          <w:szCs w:val="24"/>
          <w:lang w:eastAsia="ru-RU"/>
        </w:rPr>
        <w:t xml:space="preserve">предварительного </w:t>
      </w:r>
      <w:r w:rsidRPr="00A245AE">
        <w:rPr>
          <w:rFonts w:eastAsia="Times New Roman"/>
          <w:szCs w:val="24"/>
          <w:lang w:eastAsia="ru-RU"/>
        </w:rPr>
        <w:t>уведомления должника об обращении в суд.</w:t>
      </w:r>
    </w:p>
    <w:p w:rsidR="006341A1" w:rsidRPr="00493284" w:rsidRDefault="006341A1" w:rsidP="006341A1">
      <w:pPr>
        <w:jc w:val="center"/>
        <w:rPr>
          <w:rFonts w:eastAsia="Times New Roman"/>
          <w:b/>
          <w:bCs/>
          <w:szCs w:val="24"/>
          <w:lang w:eastAsia="ru-RU"/>
        </w:rPr>
      </w:pPr>
    </w:p>
    <w:p w:rsidR="006259A3" w:rsidRPr="00493284" w:rsidRDefault="006259A3" w:rsidP="006341A1">
      <w:pPr>
        <w:jc w:val="center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b/>
          <w:bCs/>
          <w:szCs w:val="24"/>
          <w:lang w:eastAsia="ru-RU"/>
        </w:rPr>
        <w:t>6. Реквизиты Теплоснабжающей организации</w:t>
      </w:r>
    </w:p>
    <w:p w:rsidR="006341A1" w:rsidRPr="00493284" w:rsidRDefault="006341A1" w:rsidP="006341A1">
      <w:pPr>
        <w:tabs>
          <w:tab w:val="left" w:pos="3478"/>
        </w:tabs>
        <w:rPr>
          <w:szCs w:val="24"/>
          <w:u w:val="single"/>
        </w:rPr>
      </w:pPr>
      <w:r w:rsidRPr="00493284">
        <w:rPr>
          <w:b/>
          <w:szCs w:val="24"/>
          <w:u w:val="single"/>
        </w:rPr>
        <w:t>ООО «ГазРесурс»</w:t>
      </w:r>
    </w:p>
    <w:p w:rsidR="002435F6" w:rsidRPr="004E0072" w:rsidRDefault="002435F6" w:rsidP="002435F6">
      <w:pPr>
        <w:tabs>
          <w:tab w:val="left" w:pos="3478"/>
        </w:tabs>
      </w:pPr>
      <w:r w:rsidRPr="004E0072">
        <w:t>Юридический (почтовый) адрес:</w:t>
      </w:r>
    </w:p>
    <w:p w:rsidR="002435F6" w:rsidRPr="004E0072" w:rsidRDefault="002435F6" w:rsidP="002435F6">
      <w:pPr>
        <w:tabs>
          <w:tab w:val="left" w:pos="3478"/>
        </w:tabs>
      </w:pPr>
      <w:smartTag w:uri="urn:schemas-microsoft-com:office:smarttags" w:element="metricconverter">
        <w:smartTagPr>
          <w:attr w:name="ProductID" w:val="180017, г"/>
        </w:smartTagPr>
        <w:r w:rsidRPr="004E0072">
          <w:t>180017, г</w:t>
        </w:r>
      </w:smartTag>
      <w:r w:rsidRPr="004E0072">
        <w:t xml:space="preserve">. Псков, ул. 128 Стрелковой дивизии, д.6, </w:t>
      </w:r>
      <w:proofErr w:type="spellStart"/>
      <w:r w:rsidRPr="004E0072">
        <w:t>каб</w:t>
      </w:r>
      <w:proofErr w:type="spellEnd"/>
      <w:r w:rsidRPr="004E0072">
        <w:t>. 416</w:t>
      </w:r>
    </w:p>
    <w:p w:rsidR="002435F6" w:rsidRPr="004E0072" w:rsidRDefault="002435F6" w:rsidP="002435F6">
      <w:pPr>
        <w:tabs>
          <w:tab w:val="left" w:pos="3478"/>
        </w:tabs>
      </w:pPr>
      <w:r w:rsidRPr="004E0072">
        <w:t>ИНН 6027140101, КПП 602701001,</w:t>
      </w:r>
    </w:p>
    <w:p w:rsidR="002435F6" w:rsidRPr="004E0072" w:rsidRDefault="002435F6" w:rsidP="002435F6">
      <w:pPr>
        <w:tabs>
          <w:tab w:val="left" w:pos="3478"/>
        </w:tabs>
      </w:pPr>
      <w:r w:rsidRPr="004E0072">
        <w:t xml:space="preserve">ОГРН 1116027015939,  </w:t>
      </w:r>
    </w:p>
    <w:p w:rsidR="002435F6" w:rsidRPr="004E0072" w:rsidRDefault="002435F6" w:rsidP="002435F6">
      <w:proofErr w:type="spellStart"/>
      <w:proofErr w:type="gramStart"/>
      <w:r w:rsidRPr="004E0072">
        <w:t>р</w:t>
      </w:r>
      <w:proofErr w:type="spellEnd"/>
      <w:proofErr w:type="gramEnd"/>
      <w:r w:rsidRPr="004E0072">
        <w:t>/с 40702810132380004532 в Филиал «Санкт-Петербургский» АО «АЛЬФА-БАНК»</w:t>
      </w:r>
    </w:p>
    <w:p w:rsidR="002435F6" w:rsidRPr="004E0072" w:rsidRDefault="002435F6" w:rsidP="002435F6">
      <w:pPr>
        <w:tabs>
          <w:tab w:val="left" w:pos="3478"/>
        </w:tabs>
      </w:pPr>
      <w:r w:rsidRPr="004E0072">
        <w:t>к/с 30101810600000000786</w:t>
      </w:r>
    </w:p>
    <w:p w:rsidR="002435F6" w:rsidRPr="004E0072" w:rsidRDefault="002435F6" w:rsidP="002435F6">
      <w:pPr>
        <w:tabs>
          <w:tab w:val="left" w:pos="3478"/>
        </w:tabs>
      </w:pPr>
      <w:r w:rsidRPr="004E0072">
        <w:t xml:space="preserve">БИК 044030786, </w:t>
      </w:r>
    </w:p>
    <w:p w:rsidR="002435F6" w:rsidRPr="004E0072" w:rsidRDefault="002435F6" w:rsidP="002435F6">
      <w:r w:rsidRPr="004E0072">
        <w:t>Тел.(8112) 20-11-72 (бухгалтерия), 20-11-73 (абонентский отдел), 20-11-76(ПТО), 20-11-75 (служба домовых сетей, прием ремонтных заявок)</w:t>
      </w:r>
    </w:p>
    <w:p w:rsidR="002435F6" w:rsidRPr="004E0072" w:rsidRDefault="002435F6" w:rsidP="002435F6">
      <w:proofErr w:type="gramStart"/>
      <w:r w:rsidRPr="004E0072">
        <w:rPr>
          <w:lang w:val="en-US"/>
        </w:rPr>
        <w:t>e</w:t>
      </w:r>
      <w:r w:rsidRPr="004E0072">
        <w:t>-</w:t>
      </w:r>
      <w:r w:rsidRPr="004E0072">
        <w:rPr>
          <w:lang w:val="en-US"/>
        </w:rPr>
        <w:t>mail</w:t>
      </w:r>
      <w:proofErr w:type="gramEnd"/>
      <w:r w:rsidRPr="004E0072">
        <w:t xml:space="preserve">: </w:t>
      </w:r>
      <w:hyperlink r:id="rId10" w:history="1">
        <w:r w:rsidRPr="004E0072">
          <w:rPr>
            <w:rStyle w:val="a4"/>
            <w:lang w:val="en-US"/>
          </w:rPr>
          <w:t>gazresurs</w:t>
        </w:r>
        <w:r w:rsidRPr="004E0072">
          <w:rPr>
            <w:rStyle w:val="a4"/>
          </w:rPr>
          <w:t>2011@</w:t>
        </w:r>
        <w:r w:rsidRPr="004E0072">
          <w:rPr>
            <w:rStyle w:val="a4"/>
            <w:lang w:val="en-US"/>
          </w:rPr>
          <w:t>mail</w:t>
        </w:r>
        <w:r w:rsidRPr="004E0072">
          <w:rPr>
            <w:rStyle w:val="a4"/>
          </w:rPr>
          <w:t>.</w:t>
        </w:r>
        <w:r w:rsidRPr="004E0072">
          <w:rPr>
            <w:rStyle w:val="a4"/>
            <w:lang w:val="en-US"/>
          </w:rPr>
          <w:t>ru</w:t>
        </w:r>
      </w:hyperlink>
    </w:p>
    <w:p w:rsidR="006341A1" w:rsidRPr="00493284" w:rsidRDefault="006341A1" w:rsidP="006341A1">
      <w:pPr>
        <w:tabs>
          <w:tab w:val="left" w:pos="3478"/>
        </w:tabs>
        <w:rPr>
          <w:szCs w:val="24"/>
        </w:rPr>
      </w:pPr>
      <w:r w:rsidRPr="00493284">
        <w:rPr>
          <w:szCs w:val="24"/>
        </w:rPr>
        <w:t>Генеральный директор Демин Вячеслав Александрович</w:t>
      </w:r>
    </w:p>
    <w:p w:rsidR="006341A1" w:rsidRPr="00493284" w:rsidRDefault="006341A1" w:rsidP="006341A1">
      <w:pPr>
        <w:rPr>
          <w:rFonts w:eastAsia="Times New Roman"/>
          <w:b/>
          <w:szCs w:val="24"/>
          <w:u w:val="single"/>
          <w:lang w:eastAsia="ru-RU"/>
        </w:rPr>
      </w:pPr>
    </w:p>
    <w:p w:rsidR="006259A3" w:rsidRPr="00493284" w:rsidRDefault="006259A3" w:rsidP="006341A1">
      <w:pPr>
        <w:jc w:val="both"/>
        <w:rPr>
          <w:rFonts w:eastAsia="Times New Roman"/>
          <w:b/>
          <w:szCs w:val="24"/>
          <w:u w:val="single"/>
          <w:lang w:eastAsia="ru-RU"/>
        </w:rPr>
      </w:pPr>
      <w:r w:rsidRPr="00493284">
        <w:rPr>
          <w:rFonts w:eastAsia="Times New Roman"/>
          <w:b/>
          <w:szCs w:val="24"/>
          <w:u w:val="single"/>
          <w:lang w:eastAsia="ru-RU"/>
        </w:rPr>
        <w:t>Примечание:</w:t>
      </w:r>
    </w:p>
    <w:p w:rsidR="006259A3" w:rsidRPr="00493284" w:rsidRDefault="006259A3" w:rsidP="006341A1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493284" w:rsidRDefault="006259A3" w:rsidP="006341A1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Оферта — публичное предложение Теплоснабжающей организации, адресованное любому физическому лицу (гражданину)</w:t>
      </w:r>
      <w:r w:rsidR="00A245AE">
        <w:rPr>
          <w:rFonts w:eastAsia="Times New Roman"/>
          <w:szCs w:val="24"/>
          <w:lang w:eastAsia="ru-RU"/>
        </w:rPr>
        <w:t xml:space="preserve"> или юридическому лицу</w:t>
      </w:r>
      <w:r w:rsidRPr="00493284">
        <w:rPr>
          <w:rFonts w:eastAsia="Times New Roman"/>
          <w:szCs w:val="24"/>
          <w:lang w:eastAsia="ru-RU"/>
        </w:rPr>
        <w:t xml:space="preserve">, заключить с ним Договор на оказание </w:t>
      </w:r>
      <w:r w:rsidR="00A245AE">
        <w:rPr>
          <w:rFonts w:eastAsia="Times New Roman"/>
          <w:szCs w:val="24"/>
          <w:lang w:eastAsia="ru-RU"/>
        </w:rPr>
        <w:t>услуг по поставке тепловой энергии</w:t>
      </w:r>
      <w:r w:rsidRPr="00493284">
        <w:rPr>
          <w:rFonts w:eastAsia="Times New Roman"/>
          <w:szCs w:val="24"/>
          <w:lang w:eastAsia="ru-RU"/>
        </w:rPr>
        <w:t>.</w:t>
      </w:r>
    </w:p>
    <w:p w:rsidR="006259A3" w:rsidRPr="00493284" w:rsidRDefault="006259A3" w:rsidP="006341A1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lastRenderedPageBreak/>
        <w:t>Потребитель — физическое лицо, пользующееся услугой Теплоснабжающей организации.</w:t>
      </w:r>
    </w:p>
    <w:p w:rsidR="006259A3" w:rsidRPr="00493284" w:rsidRDefault="006259A3" w:rsidP="006341A1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493284" w:rsidRDefault="006259A3" w:rsidP="006341A1">
      <w:pPr>
        <w:jc w:val="both"/>
        <w:rPr>
          <w:rFonts w:eastAsia="Times New Roman"/>
          <w:szCs w:val="24"/>
          <w:lang w:eastAsia="ru-RU"/>
        </w:rPr>
      </w:pPr>
      <w:r w:rsidRPr="00493284">
        <w:rPr>
          <w:rFonts w:eastAsia="Times New Roman"/>
          <w:szCs w:val="24"/>
          <w:lang w:eastAsia="ru-RU"/>
        </w:rPr>
        <w:t>На основании ГК РФ акцептом договора является фактическое пользование услугой.</w:t>
      </w:r>
    </w:p>
    <w:p w:rsidR="002435F6" w:rsidRDefault="002435F6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22274C" w:rsidRPr="001B6391" w:rsidRDefault="0022274C" w:rsidP="0022274C"/>
    <w:p w:rsidR="00B213DB" w:rsidRDefault="0022274C" w:rsidP="002D4A27">
      <w:pPr>
        <w:jc w:val="center"/>
        <w:rPr>
          <w:b/>
        </w:rPr>
      </w:pPr>
      <w:r w:rsidRPr="00B213DB">
        <w:rPr>
          <w:b/>
        </w:rPr>
        <w:t xml:space="preserve">Температурный график </w:t>
      </w:r>
      <w:r w:rsidR="002D4A27" w:rsidRPr="00B213DB">
        <w:rPr>
          <w:b/>
        </w:rPr>
        <w:t xml:space="preserve">теплоносителя, </w:t>
      </w:r>
    </w:p>
    <w:p w:rsidR="0022274C" w:rsidRPr="001B6391" w:rsidRDefault="002D4A27" w:rsidP="002D4A27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</w:t>
      </w:r>
      <w:r w:rsidR="008F059D" w:rsidRPr="00B213DB">
        <w:rPr>
          <w:b/>
        </w:rPr>
        <w:t xml:space="preserve"> в индивидуальный тепловой пункт (ответственность за качество несет Теплоснабжающая организация)</w:t>
      </w:r>
    </w:p>
    <w:p w:rsidR="0022274C" w:rsidRDefault="0022274C" w:rsidP="0022274C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B213DB" w:rsidRPr="00B213DB" w:rsidTr="00644297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B213DB" w:rsidRPr="00B213DB" w:rsidTr="00644297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B213DB" w:rsidRPr="00B213DB" w:rsidTr="0064429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6D4640" w:rsidRDefault="006D4640" w:rsidP="0022274C">
      <w:pPr>
        <w:jc w:val="right"/>
        <w:rPr>
          <w:sz w:val="20"/>
          <w:szCs w:val="20"/>
        </w:rPr>
      </w:pPr>
    </w:p>
    <w:p w:rsidR="006D4640" w:rsidRDefault="006D4640" w:rsidP="0022274C">
      <w:pPr>
        <w:jc w:val="right"/>
        <w:rPr>
          <w:sz w:val="20"/>
          <w:szCs w:val="20"/>
        </w:rPr>
      </w:pPr>
    </w:p>
    <w:p w:rsidR="006D4640" w:rsidRDefault="006D4640" w:rsidP="0022274C">
      <w:pPr>
        <w:jc w:val="right"/>
        <w:rPr>
          <w:sz w:val="20"/>
          <w:szCs w:val="20"/>
        </w:rPr>
      </w:pPr>
    </w:p>
    <w:p w:rsidR="006D4640" w:rsidRDefault="006D4640" w:rsidP="0022274C">
      <w:pPr>
        <w:jc w:val="right"/>
        <w:rPr>
          <w:sz w:val="20"/>
          <w:szCs w:val="20"/>
        </w:rPr>
      </w:pPr>
    </w:p>
    <w:p w:rsidR="0026030A" w:rsidRPr="004B36C5" w:rsidRDefault="0026030A" w:rsidP="0026030A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а</w:t>
      </w:r>
    </w:p>
    <w:p w:rsidR="0026030A" w:rsidRPr="004B36C5" w:rsidRDefault="0026030A" w:rsidP="0026030A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26030A" w:rsidRPr="001B6391" w:rsidRDefault="0026030A" w:rsidP="0026030A"/>
    <w:p w:rsidR="00B213DB" w:rsidRPr="00B213DB" w:rsidRDefault="0026030A" w:rsidP="008F059D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26030A" w:rsidRDefault="008F059D" w:rsidP="008F059D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</w:t>
      </w:r>
      <w:r w:rsidR="0026030A" w:rsidRPr="00B213DB">
        <w:rPr>
          <w:b/>
        </w:rPr>
        <w:t xml:space="preserve"> непосредственно Потребителю</w:t>
      </w:r>
      <w:r w:rsidR="00B213DB" w:rsidRPr="00B213DB">
        <w:rPr>
          <w:b/>
        </w:rPr>
        <w:t xml:space="preserve"> (отопительный)</w:t>
      </w:r>
      <w:r w:rsidRPr="00B213DB">
        <w:rPr>
          <w:b/>
        </w:rPr>
        <w:t xml:space="preserve"> (ответственность за качество несет Управляющая компания)</w:t>
      </w:r>
    </w:p>
    <w:p w:rsidR="0026030A" w:rsidRDefault="0026030A" w:rsidP="0022274C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213DB" w:rsidRPr="00B213DB" w:rsidTr="00644297">
        <w:tc>
          <w:tcPr>
            <w:tcW w:w="9571" w:type="dxa"/>
            <w:gridSpan w:val="3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н</w:t>
            </w:r>
            <w:proofErr w:type="spellEnd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B213DB" w:rsidRPr="00B213DB" w:rsidTr="00644297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B213DB" w:rsidRPr="00B213DB" w:rsidRDefault="00B213DB" w:rsidP="00B213DB">
      <w:pPr>
        <w:spacing w:after="200" w:line="276" w:lineRule="auto"/>
        <w:rPr>
          <w:rFonts w:ascii="Calibri" w:eastAsia="Calibri" w:hAnsi="Calibri"/>
          <w:sz w:val="22"/>
        </w:rPr>
      </w:pPr>
    </w:p>
    <w:p w:rsidR="006D4640" w:rsidRDefault="006D4640" w:rsidP="0022274C">
      <w:pPr>
        <w:jc w:val="right"/>
        <w:rPr>
          <w:sz w:val="20"/>
          <w:szCs w:val="20"/>
        </w:rPr>
      </w:pPr>
    </w:p>
    <w:p w:rsidR="008F059D" w:rsidRDefault="008F059D" w:rsidP="0022274C">
      <w:pPr>
        <w:jc w:val="right"/>
        <w:rPr>
          <w:sz w:val="20"/>
          <w:szCs w:val="20"/>
        </w:rPr>
      </w:pPr>
    </w:p>
    <w:p w:rsidR="008F059D" w:rsidRDefault="008F059D" w:rsidP="0022274C">
      <w:pPr>
        <w:jc w:val="right"/>
        <w:rPr>
          <w:sz w:val="20"/>
          <w:szCs w:val="20"/>
        </w:rPr>
      </w:pPr>
    </w:p>
    <w:p w:rsidR="008F059D" w:rsidRDefault="008F059D" w:rsidP="0022274C">
      <w:pPr>
        <w:jc w:val="right"/>
        <w:rPr>
          <w:sz w:val="20"/>
          <w:szCs w:val="20"/>
        </w:rPr>
      </w:pPr>
    </w:p>
    <w:p w:rsidR="008F059D" w:rsidRDefault="008F059D" w:rsidP="0022274C">
      <w:pPr>
        <w:jc w:val="right"/>
        <w:rPr>
          <w:sz w:val="20"/>
          <w:szCs w:val="20"/>
        </w:rPr>
      </w:pPr>
    </w:p>
    <w:p w:rsidR="008F059D" w:rsidRDefault="008F059D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6D4640" w:rsidRDefault="0022274C" w:rsidP="00A245AE">
      <w:pPr>
        <w:rPr>
          <w:sz w:val="20"/>
          <w:szCs w:val="20"/>
        </w:rPr>
      </w:pPr>
      <w:r w:rsidRPr="001B6391">
        <w:t xml:space="preserve">                                                          </w:t>
      </w:r>
    </w:p>
    <w:p w:rsidR="00A245AE" w:rsidRPr="0031440D" w:rsidRDefault="00A245AE" w:rsidP="00A245AE">
      <w:pPr>
        <w:jc w:val="center"/>
      </w:pP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A245AE" w:rsidRPr="001B6391" w:rsidRDefault="00A245AE" w:rsidP="00A245AE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10138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81"/>
        <w:gridCol w:w="2284"/>
        <w:gridCol w:w="1254"/>
        <w:gridCol w:w="1287"/>
        <w:gridCol w:w="1023"/>
        <w:gridCol w:w="1081"/>
        <w:gridCol w:w="1214"/>
        <w:gridCol w:w="1214"/>
      </w:tblGrid>
      <w:tr w:rsidR="00A245AE" w:rsidRPr="001B6391" w:rsidTr="00741819">
        <w:trPr>
          <w:cantSplit/>
        </w:trPr>
        <w:tc>
          <w:tcPr>
            <w:tcW w:w="7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245AE" w:rsidRPr="001B6391" w:rsidRDefault="00A245AE" w:rsidP="00741819">
            <w:pPr>
              <w:snapToGrid w:val="0"/>
            </w:pPr>
          </w:p>
          <w:p w:rsidR="00A245AE" w:rsidRPr="001B6391" w:rsidRDefault="00A245AE" w:rsidP="00741819">
            <w:r w:rsidRPr="001B6391">
              <w:t xml:space="preserve">№ </w:t>
            </w:r>
            <w:proofErr w:type="spellStart"/>
            <w:proofErr w:type="gramStart"/>
            <w:r w:rsidRPr="001B6391">
              <w:t>п</w:t>
            </w:r>
            <w:proofErr w:type="spellEnd"/>
            <w:proofErr w:type="gramEnd"/>
            <w:r w:rsidRPr="001B6391">
              <w:t>/</w:t>
            </w:r>
            <w:proofErr w:type="spellStart"/>
            <w:r w:rsidRPr="001B6391">
              <w:t>п</w:t>
            </w:r>
            <w:proofErr w:type="spellEnd"/>
          </w:p>
        </w:tc>
        <w:tc>
          <w:tcPr>
            <w:tcW w:w="2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245AE" w:rsidRPr="001B6391" w:rsidRDefault="00A245AE" w:rsidP="00741819">
            <w:pPr>
              <w:snapToGrid w:val="0"/>
            </w:pPr>
          </w:p>
          <w:p w:rsidR="00A245AE" w:rsidRPr="001B6391" w:rsidRDefault="00A245AE" w:rsidP="00741819">
            <w:r w:rsidRPr="001B6391">
              <w:t xml:space="preserve">              Адрес</w:t>
            </w:r>
          </w:p>
        </w:tc>
        <w:tc>
          <w:tcPr>
            <w:tcW w:w="1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245AE" w:rsidRPr="001B6391" w:rsidRDefault="00A245AE" w:rsidP="00741819">
            <w:r w:rsidRPr="001B6391">
              <w:t>Площадь</w:t>
            </w:r>
          </w:p>
          <w:p w:rsidR="00A245AE" w:rsidRPr="001B6391" w:rsidRDefault="00A245AE" w:rsidP="00741819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245AE" w:rsidRPr="001B6391" w:rsidRDefault="00A245AE" w:rsidP="00741819">
            <w:r w:rsidRPr="001B6391">
              <w:t>Максимум</w:t>
            </w:r>
          </w:p>
          <w:p w:rsidR="00A245AE" w:rsidRPr="001B6391" w:rsidRDefault="00A245AE" w:rsidP="00741819">
            <w:r w:rsidRPr="001B6391">
              <w:t xml:space="preserve">Тепловой </w:t>
            </w:r>
          </w:p>
          <w:p w:rsidR="00A245AE" w:rsidRPr="001B6391" w:rsidRDefault="00A245AE" w:rsidP="00741819">
            <w:r w:rsidRPr="001B6391">
              <w:t>Нагрузки</w:t>
            </w:r>
          </w:p>
          <w:p w:rsidR="00A245AE" w:rsidRPr="001B6391" w:rsidRDefault="00A245AE" w:rsidP="00741819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245AE" w:rsidRDefault="00A245AE" w:rsidP="00741819">
            <w:pPr>
              <w:jc w:val="center"/>
            </w:pPr>
            <w:r w:rsidRPr="001B6391">
              <w:t>Вид тепловой  нагрузки</w:t>
            </w:r>
          </w:p>
          <w:p w:rsidR="00A245AE" w:rsidRPr="001B6391" w:rsidRDefault="00A245AE" w:rsidP="00741819">
            <w:pPr>
              <w:jc w:val="center"/>
            </w:pPr>
            <w:r w:rsidRPr="001B6391">
              <w:t xml:space="preserve"> отопление</w:t>
            </w:r>
          </w:p>
        </w:tc>
        <w:tc>
          <w:tcPr>
            <w:tcW w:w="2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45AE" w:rsidRDefault="00A245AE" w:rsidP="00741819">
            <w:pPr>
              <w:jc w:val="center"/>
            </w:pPr>
            <w:r w:rsidRPr="001B6391">
              <w:t>Вид тепловой  нагрузки</w:t>
            </w:r>
          </w:p>
          <w:p w:rsidR="00A245AE" w:rsidRPr="001B6391" w:rsidRDefault="00A245AE" w:rsidP="00741819">
            <w:pPr>
              <w:jc w:val="center"/>
            </w:pPr>
            <w:r w:rsidRPr="001B6391">
              <w:t xml:space="preserve">     </w:t>
            </w:r>
            <w:r>
              <w:t>ГВС</w:t>
            </w:r>
          </w:p>
        </w:tc>
      </w:tr>
      <w:tr w:rsidR="00A245AE" w:rsidRPr="001B6391" w:rsidTr="00741819">
        <w:trPr>
          <w:cantSplit/>
        </w:trPr>
        <w:tc>
          <w:tcPr>
            <w:tcW w:w="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245AE" w:rsidRPr="001B6391" w:rsidRDefault="00A245AE" w:rsidP="00741819">
            <w:pPr>
              <w:snapToGrid w:val="0"/>
            </w:pPr>
          </w:p>
        </w:tc>
        <w:tc>
          <w:tcPr>
            <w:tcW w:w="2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245AE" w:rsidRPr="001B6391" w:rsidRDefault="00A245AE" w:rsidP="00741819">
            <w:pPr>
              <w:snapToGrid w:val="0"/>
            </w:pPr>
          </w:p>
        </w:tc>
        <w:tc>
          <w:tcPr>
            <w:tcW w:w="1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245AE" w:rsidRPr="001B6391" w:rsidRDefault="00A245AE" w:rsidP="00741819">
            <w:pPr>
              <w:snapToGrid w:val="0"/>
            </w:pPr>
          </w:p>
        </w:tc>
        <w:tc>
          <w:tcPr>
            <w:tcW w:w="12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45AE" w:rsidRPr="001B6391" w:rsidRDefault="00A245AE" w:rsidP="00741819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A245AE" w:rsidRPr="001B6391" w:rsidRDefault="00A245AE" w:rsidP="00741819">
            <w:pPr>
              <w:snapToGrid w:val="0"/>
              <w:jc w:val="center"/>
            </w:pPr>
          </w:p>
          <w:p w:rsidR="00A245AE" w:rsidRPr="001B6391" w:rsidRDefault="00A245AE" w:rsidP="00741819">
            <w:pPr>
              <w:jc w:val="center"/>
            </w:pPr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245AE" w:rsidRPr="001B6391" w:rsidRDefault="00A245AE" w:rsidP="00741819">
            <w:pPr>
              <w:snapToGrid w:val="0"/>
              <w:jc w:val="center"/>
            </w:pPr>
          </w:p>
          <w:p w:rsidR="00A245AE" w:rsidRPr="001B6391" w:rsidRDefault="00A245AE" w:rsidP="00741819">
            <w:pPr>
              <w:jc w:val="center"/>
            </w:pPr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45AE" w:rsidRPr="001B6391" w:rsidRDefault="00A245AE" w:rsidP="00741819">
            <w:pPr>
              <w:snapToGrid w:val="0"/>
            </w:pPr>
          </w:p>
          <w:p w:rsidR="00A245AE" w:rsidRPr="001B6391" w:rsidRDefault="00A245AE" w:rsidP="00741819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45AE" w:rsidRPr="001B6391" w:rsidRDefault="00A245AE" w:rsidP="00741819">
            <w:pPr>
              <w:snapToGrid w:val="0"/>
            </w:pPr>
          </w:p>
          <w:p w:rsidR="00A245AE" w:rsidRPr="001B6391" w:rsidRDefault="00A245AE" w:rsidP="00741819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A245AE" w:rsidRPr="001B6391" w:rsidTr="00741819"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245AE" w:rsidRPr="001B6391" w:rsidRDefault="00A245AE" w:rsidP="00741819">
            <w: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245AE" w:rsidRDefault="00A245AE" w:rsidP="00741819">
            <w:r>
              <w:t xml:space="preserve">Псковская обл., Псковский район, д.Писковичи,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ецентова</w:t>
            </w:r>
            <w:proofErr w:type="spellEnd"/>
            <w:r>
              <w:t>, д.5</w:t>
            </w:r>
          </w:p>
          <w:p w:rsidR="00A245AE" w:rsidRPr="001B6391" w:rsidRDefault="00A245AE" w:rsidP="00741819"/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245AE" w:rsidRDefault="00A245AE" w:rsidP="00741819">
            <w:pPr>
              <w:snapToGrid w:val="0"/>
              <w:jc w:val="center"/>
            </w:pPr>
          </w:p>
          <w:p w:rsidR="00A245AE" w:rsidRDefault="00A245AE" w:rsidP="00741819">
            <w:pPr>
              <w:snapToGrid w:val="0"/>
              <w:jc w:val="center"/>
            </w:pPr>
          </w:p>
          <w:p w:rsidR="00A245AE" w:rsidRPr="001B6391" w:rsidRDefault="00A245AE" w:rsidP="00741819">
            <w:pPr>
              <w:snapToGrid w:val="0"/>
              <w:jc w:val="center"/>
            </w:pPr>
            <w:r>
              <w:t>1265,0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245AE" w:rsidRDefault="00A245AE" w:rsidP="00741819">
            <w:pPr>
              <w:snapToGrid w:val="0"/>
              <w:jc w:val="center"/>
            </w:pPr>
          </w:p>
          <w:p w:rsidR="00A245AE" w:rsidRDefault="00A245AE" w:rsidP="00741819">
            <w:pPr>
              <w:snapToGrid w:val="0"/>
              <w:jc w:val="center"/>
            </w:pPr>
          </w:p>
          <w:p w:rsidR="00A245AE" w:rsidRPr="001B6391" w:rsidRDefault="00A245AE" w:rsidP="00741819">
            <w:pPr>
              <w:snapToGrid w:val="0"/>
              <w:jc w:val="center"/>
            </w:pPr>
            <w:r>
              <w:t>0,7374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245AE" w:rsidRDefault="00A245AE" w:rsidP="00741819">
            <w:pPr>
              <w:snapToGrid w:val="0"/>
              <w:jc w:val="center"/>
            </w:pPr>
          </w:p>
          <w:p w:rsidR="00A245AE" w:rsidRDefault="00A245AE" w:rsidP="00741819">
            <w:pPr>
              <w:snapToGrid w:val="0"/>
              <w:jc w:val="center"/>
            </w:pPr>
          </w:p>
          <w:p w:rsidR="00A245AE" w:rsidRPr="001B6391" w:rsidRDefault="00A245AE" w:rsidP="00741819">
            <w:pPr>
              <w:snapToGrid w:val="0"/>
              <w:jc w:val="center"/>
            </w:pPr>
            <w:r>
              <w:t>0,4854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245AE" w:rsidRDefault="00A245AE" w:rsidP="00741819">
            <w:pPr>
              <w:snapToGrid w:val="0"/>
              <w:jc w:val="center"/>
            </w:pPr>
          </w:p>
          <w:p w:rsidR="00A245AE" w:rsidRDefault="00A245AE" w:rsidP="00741819">
            <w:pPr>
              <w:snapToGrid w:val="0"/>
              <w:jc w:val="center"/>
            </w:pPr>
          </w:p>
          <w:p w:rsidR="00A245AE" w:rsidRPr="001B6391" w:rsidRDefault="00A245AE" w:rsidP="00741819">
            <w:pPr>
              <w:snapToGrid w:val="0"/>
              <w:jc w:val="center"/>
            </w:pPr>
            <w:r>
              <w:t>13,9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45AE" w:rsidRDefault="00A245AE" w:rsidP="00741819">
            <w:pPr>
              <w:snapToGrid w:val="0"/>
              <w:jc w:val="center"/>
            </w:pPr>
          </w:p>
          <w:p w:rsidR="00A245AE" w:rsidRDefault="00A245AE" w:rsidP="00741819">
            <w:pPr>
              <w:snapToGrid w:val="0"/>
              <w:jc w:val="center"/>
            </w:pPr>
          </w:p>
          <w:p w:rsidR="00A245AE" w:rsidRPr="001B6391" w:rsidRDefault="00A245AE" w:rsidP="00741819">
            <w:pPr>
              <w:snapToGrid w:val="0"/>
              <w:jc w:val="center"/>
            </w:pPr>
            <w:r>
              <w:t>0,252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45AE" w:rsidRDefault="00A245AE" w:rsidP="00741819">
            <w:pPr>
              <w:snapToGrid w:val="0"/>
              <w:jc w:val="center"/>
            </w:pPr>
          </w:p>
          <w:p w:rsidR="00A245AE" w:rsidRDefault="00A245AE" w:rsidP="00741819">
            <w:pPr>
              <w:snapToGrid w:val="0"/>
              <w:jc w:val="center"/>
            </w:pPr>
          </w:p>
          <w:p w:rsidR="00A245AE" w:rsidRPr="001B6391" w:rsidRDefault="00A245AE" w:rsidP="00741819">
            <w:pPr>
              <w:snapToGrid w:val="0"/>
              <w:jc w:val="center"/>
            </w:pPr>
            <w:r>
              <w:t>10,1</w:t>
            </w:r>
          </w:p>
        </w:tc>
      </w:tr>
    </w:tbl>
    <w:p w:rsidR="00A245AE" w:rsidRDefault="00A245AE" w:rsidP="00A245AE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E15C5C" w:rsidRPr="00E15C5C" w:rsidTr="0064429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Примечание</w:t>
            </w:r>
          </w:p>
        </w:tc>
      </w:tr>
      <w:tr w:rsidR="00E15C5C" w:rsidRPr="00E15C5C" w:rsidTr="0064429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</w:tbl>
    <w:p w:rsidR="00E15C5C" w:rsidRPr="00E15C5C" w:rsidRDefault="00E15C5C" w:rsidP="00E15C5C">
      <w:pPr>
        <w:suppressAutoHyphens/>
        <w:spacing w:after="100"/>
        <w:rPr>
          <w:rFonts w:eastAsia="Times New Roman"/>
          <w:color w:val="00000A"/>
          <w:szCs w:val="24"/>
          <w:lang w:eastAsia="zh-CN"/>
        </w:rPr>
      </w:pPr>
      <w:r w:rsidRPr="00E15C5C">
        <w:rPr>
          <w:rFonts w:eastAsia="Times New Roman"/>
          <w:b/>
          <w:color w:val="00000A"/>
          <w:szCs w:val="24"/>
          <w:lang w:eastAsia="zh-CN"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E15C5C" w:rsidRPr="00E15C5C" w:rsidTr="0064429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ind w:firstLine="708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64429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ind w:firstLine="708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center" w:pos="1088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64429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ind w:firstLine="708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64429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</w:tbl>
    <w:p w:rsidR="00E15C5C" w:rsidRPr="00E15C5C" w:rsidRDefault="00E15C5C" w:rsidP="00E15C5C">
      <w:pPr>
        <w:suppressAutoHyphens/>
        <w:spacing w:after="100"/>
        <w:rPr>
          <w:rFonts w:eastAsia="Times New Roman"/>
          <w:b/>
          <w:color w:val="00000A"/>
          <w:szCs w:val="24"/>
          <w:lang w:eastAsia="zh-CN"/>
        </w:rPr>
      </w:pPr>
      <w:r w:rsidRPr="00E15C5C">
        <w:rPr>
          <w:rFonts w:eastAsia="Times New Roman"/>
          <w:b/>
          <w:color w:val="00000A"/>
          <w:szCs w:val="24"/>
          <w:lang w:eastAsia="zh-CN"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E15C5C" w:rsidRPr="00E15C5C" w:rsidTr="0064429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64429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64429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64429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</w:tbl>
    <w:p w:rsidR="00E15C5C" w:rsidRPr="00E15C5C" w:rsidRDefault="00E15C5C" w:rsidP="00E15C5C">
      <w:pPr>
        <w:suppressAutoHyphens/>
        <w:spacing w:after="100"/>
        <w:rPr>
          <w:rFonts w:eastAsia="Times New Roman"/>
          <w:color w:val="00000A"/>
          <w:szCs w:val="24"/>
          <w:lang w:eastAsia="zh-CN"/>
        </w:rPr>
      </w:pPr>
      <w:r w:rsidRPr="00E15C5C">
        <w:rPr>
          <w:rFonts w:eastAsia="Times New Roman"/>
          <w:b/>
          <w:color w:val="00000A"/>
          <w:szCs w:val="24"/>
          <w:lang w:eastAsia="zh-CN"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E15C5C" w:rsidRPr="00E15C5C" w:rsidTr="0064429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64429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64429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64429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</w:tbl>
    <w:p w:rsidR="00E15C5C" w:rsidRPr="00E15C5C" w:rsidRDefault="00E15C5C" w:rsidP="00E15C5C">
      <w:pPr>
        <w:tabs>
          <w:tab w:val="left" w:pos="2595"/>
        </w:tabs>
        <w:suppressAutoHyphens/>
        <w:spacing w:after="100"/>
        <w:rPr>
          <w:rFonts w:eastAsia="Times New Roman"/>
          <w:color w:val="00000A"/>
          <w:szCs w:val="24"/>
          <w:lang w:eastAsia="zh-CN"/>
        </w:rPr>
      </w:pPr>
      <w:r w:rsidRPr="00E15C5C">
        <w:rPr>
          <w:rFonts w:eastAsia="Times New Roman"/>
          <w:color w:val="00000A"/>
          <w:szCs w:val="24"/>
          <w:lang w:eastAsia="zh-CN"/>
        </w:rPr>
        <w:tab/>
      </w:r>
      <w:r w:rsidRPr="00E15C5C">
        <w:rPr>
          <w:rFonts w:eastAsia="Times New Roman"/>
          <w:b/>
          <w:color w:val="00000A"/>
          <w:szCs w:val="24"/>
          <w:lang w:eastAsia="zh-CN"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E15C5C" w:rsidRPr="00E15C5C" w:rsidTr="0064429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64429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64429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64429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64429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                       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5"/>
        <w:gridCol w:w="4202"/>
        <w:gridCol w:w="3112"/>
        <w:gridCol w:w="2007"/>
      </w:tblGrid>
      <w:tr w:rsidR="0022274C" w:rsidRPr="001B6391" w:rsidTr="0064429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4429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44297">
            <w:pPr>
              <w:spacing w:after="100"/>
              <w:ind w:left="360"/>
              <w:rPr>
                <w:b/>
              </w:rPr>
            </w:pPr>
            <w:proofErr w:type="gramStart"/>
            <w:r w:rsidRPr="001B6391"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1B6391">
              <w:rPr>
                <w:b/>
              </w:rPr>
              <w:t>п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4429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4429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4429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4429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4429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4429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4429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4429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4429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4429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4429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4429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4429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4429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4429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4429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4429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4429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4429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493284">
      <w:pgSz w:w="11906" w:h="16838"/>
      <w:pgMar w:top="1134" w:right="850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9A3"/>
    <w:rsid w:val="00002F11"/>
    <w:rsid w:val="00032024"/>
    <w:rsid w:val="000579F7"/>
    <w:rsid w:val="000963E4"/>
    <w:rsid w:val="001477EC"/>
    <w:rsid w:val="00173C07"/>
    <w:rsid w:val="001D2364"/>
    <w:rsid w:val="001F1CCE"/>
    <w:rsid w:val="0022274C"/>
    <w:rsid w:val="002435F6"/>
    <w:rsid w:val="0026030A"/>
    <w:rsid w:val="002C3C20"/>
    <w:rsid w:val="002D4A27"/>
    <w:rsid w:val="002E21A4"/>
    <w:rsid w:val="00326221"/>
    <w:rsid w:val="003919D0"/>
    <w:rsid w:val="003E6E5C"/>
    <w:rsid w:val="003F1722"/>
    <w:rsid w:val="00434A18"/>
    <w:rsid w:val="00493284"/>
    <w:rsid w:val="005D7E79"/>
    <w:rsid w:val="006259A3"/>
    <w:rsid w:val="006341A1"/>
    <w:rsid w:val="00644297"/>
    <w:rsid w:val="00671140"/>
    <w:rsid w:val="006D4640"/>
    <w:rsid w:val="007D68C6"/>
    <w:rsid w:val="0081095B"/>
    <w:rsid w:val="00873599"/>
    <w:rsid w:val="008F059D"/>
    <w:rsid w:val="00977C93"/>
    <w:rsid w:val="009E1DDE"/>
    <w:rsid w:val="00A245AE"/>
    <w:rsid w:val="00A27AD1"/>
    <w:rsid w:val="00A427F0"/>
    <w:rsid w:val="00B213DB"/>
    <w:rsid w:val="00B27517"/>
    <w:rsid w:val="00B512CA"/>
    <w:rsid w:val="00BC2885"/>
    <w:rsid w:val="00C15882"/>
    <w:rsid w:val="00CC1325"/>
    <w:rsid w:val="00D82827"/>
    <w:rsid w:val="00E07EED"/>
    <w:rsid w:val="00E14DBC"/>
    <w:rsid w:val="00E15C5C"/>
    <w:rsid w:val="00E5570A"/>
    <w:rsid w:val="00F44BC9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B213DB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eployenergeti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ublichnie_ofer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teplosnabzhenie/" TargetMode="External"/><Relationship Id="rId10" Type="http://schemas.openxmlformats.org/officeDocument/2006/relationships/hyperlink" Target="mailto:gazresurs20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2023-11-30T14:10:00Z</dcterms:created>
  <dcterms:modified xsi:type="dcterms:W3CDTF">2023-11-30T14:11:00Z</dcterms:modified>
</cp:coreProperties>
</file>